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12" w:rsidRDefault="003A24F6" w:rsidP="00A65912">
      <w:pPr>
        <w:keepNext/>
        <w:spacing w:before="240"/>
        <w:jc w:val="right"/>
        <w:outlineLvl w:val="1"/>
        <w:rPr>
          <w:rFonts w:eastAsia="Times New Roman" w:cs="Times New Roman"/>
          <w:i/>
          <w:szCs w:val="20"/>
          <w:lang w:eastAsia="pl-PL"/>
        </w:rPr>
      </w:pPr>
      <w:bookmarkStart w:id="0" w:name="_GoBack"/>
      <w:bookmarkEnd w:id="0"/>
      <w:r>
        <w:rPr>
          <w:rFonts w:eastAsia="Times New Roman" w:cs="Times New Roman"/>
          <w:i/>
          <w:szCs w:val="20"/>
          <w:lang w:eastAsia="pl-PL"/>
        </w:rPr>
        <w:t>Projekt z dnia 12</w:t>
      </w:r>
      <w:r w:rsidR="00A65912">
        <w:rPr>
          <w:rFonts w:eastAsia="Times New Roman" w:cs="Times New Roman"/>
          <w:i/>
          <w:szCs w:val="20"/>
          <w:lang w:eastAsia="pl-PL"/>
        </w:rPr>
        <w:t>.02.2013r.</w:t>
      </w:r>
    </w:p>
    <w:p w:rsidR="00A65912" w:rsidRDefault="00A65912" w:rsidP="00A65912">
      <w:pPr>
        <w:keepNext/>
        <w:spacing w:before="240"/>
        <w:jc w:val="center"/>
        <w:outlineLvl w:val="1"/>
        <w:rPr>
          <w:rFonts w:eastAsia="Times New Roman" w:cs="Times New Roman"/>
          <w:b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ROZPORZĄDZENIE</w:t>
      </w:r>
    </w:p>
    <w:p w:rsidR="00A65912" w:rsidRPr="008B09DB" w:rsidRDefault="00A65912" w:rsidP="00A65912">
      <w:pPr>
        <w:jc w:val="center"/>
        <w:rPr>
          <w:rFonts w:eastAsia="Times New Roman" w:cs="Times New Roman"/>
          <w:b/>
          <w:szCs w:val="20"/>
          <w:vertAlign w:val="superscript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MINISTRA TRANSPORTU, BUDOWNICTWA I GOSPODARKI MORSKIEJ</w:t>
      </w:r>
      <w:r>
        <w:rPr>
          <w:rFonts w:eastAsia="Times New Roman" w:cs="Times New Roman"/>
          <w:b/>
          <w:szCs w:val="20"/>
          <w:vertAlign w:val="superscript"/>
          <w:lang w:eastAsia="pl-PL"/>
        </w:rPr>
        <w:footnoteReference w:id="1"/>
      </w:r>
      <w:r w:rsidR="008B09DB">
        <w:rPr>
          <w:rFonts w:eastAsia="Times New Roman" w:cs="Times New Roman"/>
          <w:b/>
          <w:szCs w:val="20"/>
          <w:vertAlign w:val="superscript"/>
          <w:lang w:eastAsia="pl-PL"/>
        </w:rPr>
        <w:t>)</w:t>
      </w:r>
    </w:p>
    <w:p w:rsidR="00A65912" w:rsidRDefault="00A65912" w:rsidP="00A65912">
      <w:pPr>
        <w:jc w:val="center"/>
        <w:rPr>
          <w:rFonts w:eastAsia="Times New Roman" w:cs="Times New Roman"/>
          <w:b/>
          <w:szCs w:val="20"/>
          <w:vertAlign w:val="superscript"/>
          <w:lang w:eastAsia="pl-PL"/>
        </w:rPr>
      </w:pPr>
    </w:p>
    <w:p w:rsidR="00A65912" w:rsidRDefault="00A65912" w:rsidP="00A65912">
      <w:pPr>
        <w:jc w:val="center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 dnia ............................. 201</w:t>
      </w:r>
      <w:r w:rsidR="008B09DB">
        <w:rPr>
          <w:rFonts w:eastAsia="Times New Roman" w:cs="Times New Roman"/>
          <w:szCs w:val="20"/>
          <w:lang w:eastAsia="pl-PL"/>
        </w:rPr>
        <w:t>3</w:t>
      </w:r>
      <w:r>
        <w:rPr>
          <w:rFonts w:eastAsia="Times New Roman" w:cs="Times New Roman"/>
          <w:szCs w:val="20"/>
          <w:lang w:eastAsia="pl-PL"/>
        </w:rPr>
        <w:t xml:space="preserve"> r.</w:t>
      </w:r>
    </w:p>
    <w:p w:rsidR="00A65912" w:rsidRDefault="00A65912" w:rsidP="00A65912">
      <w:pPr>
        <w:jc w:val="center"/>
        <w:rPr>
          <w:rFonts w:ascii="Arial" w:eastAsia="Times New Roman" w:hAnsi="Arial" w:cs="Times New Roman"/>
          <w:b/>
          <w:bCs/>
          <w:szCs w:val="20"/>
          <w:lang w:eastAsia="pl-PL"/>
        </w:rPr>
      </w:pPr>
    </w:p>
    <w:p w:rsidR="00A65912" w:rsidRPr="00A65912" w:rsidRDefault="00A65912" w:rsidP="002E0C74">
      <w:pPr>
        <w:pStyle w:val="Default"/>
        <w:jc w:val="center"/>
        <w:rPr>
          <w:b/>
        </w:rPr>
      </w:pPr>
      <w:r w:rsidRPr="00A65912">
        <w:rPr>
          <w:b/>
        </w:rPr>
        <w:t>zmieniające rozporządzenie w</w:t>
      </w:r>
      <w:r>
        <w:rPr>
          <w:b/>
        </w:rPr>
        <w:t xml:space="preserve"> </w:t>
      </w:r>
      <w:r w:rsidRPr="00C20FBC">
        <w:rPr>
          <w:b/>
        </w:rPr>
        <w:t>sprawie</w:t>
      </w:r>
      <w:r w:rsidR="002E0C74">
        <w:rPr>
          <w:b/>
        </w:rPr>
        <w:t xml:space="preserve"> </w:t>
      </w:r>
      <w:r w:rsidR="002E0C74" w:rsidRPr="002E0C74">
        <w:rPr>
          <w:b/>
        </w:rPr>
        <w:t>wydawania dokumentów stwierdzających uprawnienia do kierowania pojazdami</w:t>
      </w:r>
    </w:p>
    <w:p w:rsidR="00A65912" w:rsidRDefault="00A65912" w:rsidP="00A65912">
      <w:pPr>
        <w:jc w:val="center"/>
        <w:rPr>
          <w:rFonts w:ascii="Arial" w:eastAsia="Times New Roman" w:hAnsi="Arial" w:cs="Times New Roman"/>
          <w:b/>
          <w:bCs/>
          <w:szCs w:val="20"/>
          <w:lang w:eastAsia="pl-PL"/>
        </w:rPr>
      </w:pPr>
    </w:p>
    <w:p w:rsidR="00471E52" w:rsidRPr="006C7337" w:rsidRDefault="00471E52" w:rsidP="00471E52">
      <w:pPr>
        <w:ind w:left="-142"/>
        <w:jc w:val="both"/>
        <w:rPr>
          <w:rFonts w:eastAsia="Times New Roman" w:cs="Times New Roman"/>
          <w:szCs w:val="24"/>
          <w:lang w:eastAsia="pl-PL"/>
        </w:rPr>
      </w:pPr>
      <w:r w:rsidRPr="006C7337">
        <w:rPr>
          <w:rFonts w:cs="Times New Roman"/>
          <w:color w:val="000000"/>
          <w:szCs w:val="24"/>
        </w:rPr>
        <w:t xml:space="preserve">Na podstawie art. </w:t>
      </w:r>
      <w:r w:rsidR="002E0C74">
        <w:rPr>
          <w:rFonts w:cs="Times New Roman"/>
          <w:color w:val="000000"/>
          <w:szCs w:val="24"/>
        </w:rPr>
        <w:t>20</w:t>
      </w:r>
      <w:r w:rsidRPr="006C7337">
        <w:rPr>
          <w:rFonts w:cs="Times New Roman"/>
          <w:color w:val="000000"/>
          <w:szCs w:val="24"/>
        </w:rPr>
        <w:t xml:space="preserve"> ust. 1 pkt </w:t>
      </w:r>
      <w:r w:rsidR="002E0C74">
        <w:rPr>
          <w:rFonts w:cs="Times New Roman"/>
          <w:color w:val="000000"/>
          <w:szCs w:val="24"/>
        </w:rPr>
        <w:t>2</w:t>
      </w:r>
      <w:r w:rsidRPr="006C7337">
        <w:rPr>
          <w:rFonts w:cs="Times New Roman"/>
          <w:color w:val="000000"/>
          <w:szCs w:val="24"/>
        </w:rPr>
        <w:t xml:space="preserve"> ustawy z dnia 5 stycznia 2011 r. o kierujących pojazdami </w:t>
      </w:r>
      <w:r w:rsidRPr="006C7337">
        <w:rPr>
          <w:rFonts w:eastAsia="Times New Roman" w:cs="Times New Roman"/>
          <w:szCs w:val="24"/>
          <w:lang w:eastAsia="pl-PL"/>
        </w:rPr>
        <w:t xml:space="preserve">(Dz. U. </w:t>
      </w:r>
      <w:r w:rsidR="008B09DB">
        <w:rPr>
          <w:rFonts w:eastAsia="Times New Roman" w:cs="Times New Roman"/>
          <w:szCs w:val="24"/>
          <w:lang w:eastAsia="pl-PL"/>
        </w:rPr>
        <w:t>N</w:t>
      </w:r>
      <w:r w:rsidRPr="006C7337">
        <w:rPr>
          <w:rFonts w:eastAsia="Times New Roman" w:cs="Times New Roman"/>
          <w:szCs w:val="24"/>
          <w:lang w:eastAsia="pl-PL"/>
        </w:rPr>
        <w:t>r 30</w:t>
      </w:r>
      <w:r w:rsidR="008B09DB">
        <w:rPr>
          <w:rFonts w:eastAsia="Times New Roman" w:cs="Times New Roman"/>
          <w:szCs w:val="24"/>
          <w:lang w:eastAsia="pl-PL"/>
        </w:rPr>
        <w:t>,</w:t>
      </w:r>
      <w:r w:rsidRPr="006C7337">
        <w:rPr>
          <w:rFonts w:eastAsia="Times New Roman" w:cs="Times New Roman"/>
          <w:szCs w:val="24"/>
          <w:lang w:eastAsia="pl-PL"/>
        </w:rPr>
        <w:t xml:space="preserve"> poz. 151</w:t>
      </w:r>
      <w:r w:rsidR="008B09DB">
        <w:rPr>
          <w:rFonts w:eastAsia="Times New Roman" w:cs="Times New Roman"/>
          <w:szCs w:val="24"/>
          <w:lang w:eastAsia="pl-PL"/>
        </w:rPr>
        <w:t xml:space="preserve">, z </w:t>
      </w:r>
      <w:proofErr w:type="spellStart"/>
      <w:r w:rsidR="008B09DB">
        <w:rPr>
          <w:rFonts w:eastAsia="Times New Roman" w:cs="Times New Roman"/>
          <w:szCs w:val="24"/>
          <w:lang w:eastAsia="pl-PL"/>
        </w:rPr>
        <w:t>późn</w:t>
      </w:r>
      <w:proofErr w:type="spellEnd"/>
      <w:r w:rsidR="008B09DB">
        <w:rPr>
          <w:rFonts w:eastAsia="Times New Roman" w:cs="Times New Roman"/>
          <w:szCs w:val="24"/>
          <w:lang w:eastAsia="pl-PL"/>
        </w:rPr>
        <w:t>. zm.</w:t>
      </w:r>
      <w:r w:rsidRPr="006C7337">
        <w:rPr>
          <w:rFonts w:eastAsia="Times New Roman" w:cs="Times New Roman"/>
          <w:szCs w:val="24"/>
          <w:vertAlign w:val="superscript"/>
          <w:lang w:eastAsia="pl-PL"/>
        </w:rPr>
        <w:footnoteReference w:id="2"/>
      </w:r>
      <w:r w:rsidR="008B09DB">
        <w:rPr>
          <w:rFonts w:eastAsia="Times New Roman" w:cs="Times New Roman"/>
          <w:szCs w:val="24"/>
          <w:vertAlign w:val="superscript"/>
          <w:lang w:eastAsia="pl-PL"/>
        </w:rPr>
        <w:t>)</w:t>
      </w:r>
      <w:r w:rsidRPr="006C7337">
        <w:rPr>
          <w:rFonts w:eastAsia="Times New Roman" w:cs="Times New Roman"/>
          <w:szCs w:val="24"/>
          <w:lang w:eastAsia="pl-PL"/>
        </w:rPr>
        <w:t>)</w:t>
      </w:r>
      <w:r w:rsidRPr="006C7337">
        <w:rPr>
          <w:rFonts w:eastAsia="Times New Roman" w:cs="Times New Roman"/>
          <w:b/>
          <w:szCs w:val="24"/>
          <w:lang w:eastAsia="pl-PL"/>
        </w:rPr>
        <w:t xml:space="preserve"> </w:t>
      </w:r>
      <w:r w:rsidRPr="006C7337">
        <w:rPr>
          <w:rFonts w:eastAsia="Times New Roman" w:cs="Times New Roman"/>
          <w:szCs w:val="24"/>
          <w:lang w:eastAsia="pl-PL"/>
        </w:rPr>
        <w:t>zarządza się, co następuje:</w:t>
      </w:r>
    </w:p>
    <w:p w:rsidR="00A65912" w:rsidRDefault="00A65912" w:rsidP="005C5A51">
      <w:pPr>
        <w:ind w:firstLine="360"/>
        <w:jc w:val="both"/>
        <w:rPr>
          <w:b/>
        </w:rPr>
      </w:pPr>
    </w:p>
    <w:p w:rsidR="00AF2539" w:rsidRPr="008609CC" w:rsidRDefault="005C5A51" w:rsidP="008609CC">
      <w:pPr>
        <w:pStyle w:val="Akapitzlist"/>
        <w:numPr>
          <w:ilvl w:val="0"/>
          <w:numId w:val="13"/>
        </w:numPr>
        <w:ind w:left="567" w:hanging="567"/>
        <w:jc w:val="both"/>
        <w:rPr>
          <w:rFonts w:cs="Times New Roman"/>
          <w:szCs w:val="24"/>
        </w:rPr>
      </w:pPr>
      <w:r w:rsidRPr="002E0C74">
        <w:rPr>
          <w:rFonts w:cs="Times New Roman"/>
          <w:szCs w:val="24"/>
        </w:rPr>
        <w:t xml:space="preserve">W rozporządzeniu Ministra, Transportu, Budownictwa i Gospodarki Morskiej z dnia 31 lipca 2012 r. w sprawie wydawania dokumentów stwierdzających uprawnienia do kierowania pojazdami </w:t>
      </w:r>
      <w:r w:rsidR="00CE2D3A">
        <w:rPr>
          <w:rFonts w:cs="Times New Roman"/>
          <w:szCs w:val="24"/>
        </w:rPr>
        <w:t>(Dz. U</w:t>
      </w:r>
      <w:r w:rsidR="008B09DB">
        <w:rPr>
          <w:rFonts w:cs="Times New Roman"/>
          <w:szCs w:val="24"/>
        </w:rPr>
        <w:t>.</w:t>
      </w:r>
      <w:r w:rsidR="008609CC">
        <w:rPr>
          <w:rFonts w:cs="Times New Roman"/>
          <w:szCs w:val="24"/>
        </w:rPr>
        <w:t xml:space="preserve"> poz. 1005) </w:t>
      </w:r>
      <w:r w:rsidR="005E025F" w:rsidRPr="008609CC">
        <w:rPr>
          <w:rFonts w:cs="Times New Roman"/>
          <w:szCs w:val="24"/>
        </w:rPr>
        <w:t>d</w:t>
      </w:r>
      <w:r w:rsidR="00AF2539" w:rsidRPr="008609CC">
        <w:rPr>
          <w:rFonts w:cs="Times New Roman"/>
          <w:szCs w:val="24"/>
        </w:rPr>
        <w:t xml:space="preserve">odaje się § 7a </w:t>
      </w:r>
      <w:r w:rsidR="0017095B" w:rsidRPr="008609CC">
        <w:rPr>
          <w:rFonts w:cs="Times New Roman"/>
          <w:szCs w:val="24"/>
        </w:rPr>
        <w:t xml:space="preserve">i 7b </w:t>
      </w:r>
      <w:r w:rsidR="00AF2539" w:rsidRPr="008609CC">
        <w:rPr>
          <w:rFonts w:cs="Times New Roman"/>
          <w:szCs w:val="24"/>
        </w:rPr>
        <w:t>w brzmieniu:</w:t>
      </w:r>
    </w:p>
    <w:p w:rsidR="005C5A51" w:rsidRDefault="00AF2539" w:rsidP="00FD0F79">
      <w:pPr>
        <w:pStyle w:val="Akapitzlist"/>
        <w:jc w:val="both"/>
      </w:pPr>
      <w:r>
        <w:rPr>
          <w:rFonts w:cs="Times New Roman"/>
          <w:szCs w:val="24"/>
        </w:rPr>
        <w:t xml:space="preserve">„§ 7a. 1. W przypadku </w:t>
      </w:r>
      <w:r w:rsidR="005E025F">
        <w:rPr>
          <w:rFonts w:cs="Times New Roman"/>
          <w:szCs w:val="24"/>
        </w:rPr>
        <w:t>gdy</w:t>
      </w:r>
      <w:r>
        <w:rPr>
          <w:rFonts w:cs="Times New Roman"/>
          <w:szCs w:val="24"/>
        </w:rPr>
        <w:t xml:space="preserve"> po wygenerowaniu profilu kandydata na kierowcę do organu wydającego prawo jazdy lub pozwolenie wpłynęła informacja od ośrodka egzaminowania o konieczności</w:t>
      </w:r>
      <w:r w:rsidRPr="00AF2539">
        <w:t xml:space="preserve"> </w:t>
      </w:r>
      <w:r>
        <w:t>zablokowania profilu kandydat</w:t>
      </w:r>
      <w:r w:rsidR="00FD0F79">
        <w:t>a</w:t>
      </w:r>
      <w:r>
        <w:t xml:space="preserve"> na kierowcę </w:t>
      </w:r>
      <w:r w:rsidR="005E025F">
        <w:br/>
      </w:r>
      <w:r>
        <w:t>w systemie teleinformatycznym</w:t>
      </w:r>
      <w:r w:rsidR="00FD0F79">
        <w:t xml:space="preserve"> w związku z przyjęciem osoby na egzamin</w:t>
      </w:r>
      <w:r w:rsidR="005E025F">
        <w:t xml:space="preserve"> państwowy</w:t>
      </w:r>
      <w:r w:rsidR="00FD0F79">
        <w:t>, organ</w:t>
      </w:r>
      <w:r w:rsidR="005E025F">
        <w:t xml:space="preserve"> wydający prawo jazdy lub pozwolenie</w:t>
      </w:r>
      <w:r w:rsidR="00FD0F79">
        <w:t xml:space="preserve"> sprawdza w systemie teleinformatycznym czy profil</w:t>
      </w:r>
      <w:r w:rsidR="005E025F">
        <w:t xml:space="preserve"> kandydata na kierowcę</w:t>
      </w:r>
      <w:r w:rsidR="00FD0F79">
        <w:t xml:space="preserve"> nie jest zablokowany przez inny ośrodek egzaminowania.</w:t>
      </w:r>
    </w:p>
    <w:p w:rsidR="00FD0F79" w:rsidRDefault="00FD0F79" w:rsidP="00FD0F79">
      <w:pPr>
        <w:pStyle w:val="Akapitzlist"/>
        <w:jc w:val="both"/>
      </w:pPr>
      <w:r>
        <w:t>2. W przypadku stwierdzenia, że profil</w:t>
      </w:r>
      <w:r w:rsidR="005E025F">
        <w:t xml:space="preserve"> kandydata na kierowcę</w:t>
      </w:r>
      <w:r>
        <w:t xml:space="preserve"> nie jest zablokowany, </w:t>
      </w:r>
      <w:r w:rsidR="005E025F">
        <w:br/>
      </w:r>
      <w:r>
        <w:t>a zawarte w nim dane pozwalają na przystąpienie do egzaminu</w:t>
      </w:r>
      <w:r w:rsidR="005E025F">
        <w:t xml:space="preserve"> państwowego</w:t>
      </w:r>
      <w:r>
        <w:t xml:space="preserve"> organ </w:t>
      </w:r>
      <w:r w:rsidR="005E025F">
        <w:t xml:space="preserve">wydający prawo jazdy lub pozwolenie </w:t>
      </w:r>
      <w:r>
        <w:t>blokuje profil</w:t>
      </w:r>
      <w:r w:rsidR="005E025F">
        <w:t xml:space="preserve"> kandydata na kierowcę</w:t>
      </w:r>
      <w:r>
        <w:t xml:space="preserve"> </w:t>
      </w:r>
      <w:r w:rsidR="005E025F">
        <w:br/>
      </w:r>
      <w:r>
        <w:t>w systemie teleinformatycznym wprowadzając dane ośrodka egzaminowania</w:t>
      </w:r>
      <w:r w:rsidR="005E025F">
        <w:t>,</w:t>
      </w:r>
      <w:r>
        <w:t xml:space="preserve"> który będzie przeprowadzał egzamin</w:t>
      </w:r>
      <w:r w:rsidR="005E025F">
        <w:t xml:space="preserve"> państwowy</w:t>
      </w:r>
      <w:r>
        <w:t xml:space="preserve"> i przesyła informację o tym fakcie do </w:t>
      </w:r>
      <w:r w:rsidR="005E025F">
        <w:t xml:space="preserve">tego </w:t>
      </w:r>
      <w:r>
        <w:t>ośrodka.</w:t>
      </w:r>
    </w:p>
    <w:p w:rsidR="0017095B" w:rsidRDefault="00FD0F79" w:rsidP="00FD0F79">
      <w:pPr>
        <w:pStyle w:val="Akapitzlist"/>
        <w:jc w:val="both"/>
      </w:pPr>
      <w:r>
        <w:t>3. W przypadku stwierdzenia, że profil</w:t>
      </w:r>
      <w:r w:rsidR="005E025F">
        <w:t xml:space="preserve"> kandydata na kierowcę </w:t>
      </w:r>
      <w:r>
        <w:t>jest zablokowany, albo zawarte w nim dane nie pozwalają na przystąpienie do egzaminu</w:t>
      </w:r>
      <w:r w:rsidR="005E025F">
        <w:t xml:space="preserve"> państwowego,</w:t>
      </w:r>
      <w:r w:rsidR="0017095B">
        <w:t xml:space="preserve"> </w:t>
      </w:r>
      <w:r w:rsidR="00B859C2">
        <w:t xml:space="preserve">organ wydający prawo jazdy lub pozwolenie przesyła </w:t>
      </w:r>
      <w:r w:rsidR="0017095B">
        <w:t>informację o tym fakcie do ośrodka egzaminowania.</w:t>
      </w:r>
    </w:p>
    <w:p w:rsidR="00921A9C" w:rsidRDefault="00921A9C" w:rsidP="00FD0F79">
      <w:pPr>
        <w:pStyle w:val="Akapitzlist"/>
        <w:jc w:val="both"/>
      </w:pPr>
      <w:r>
        <w:t xml:space="preserve">4. W przypadku </w:t>
      </w:r>
      <w:r w:rsidR="005606FD">
        <w:t>gdy</w:t>
      </w:r>
      <w:r>
        <w:t xml:space="preserve"> wraz z informacją</w:t>
      </w:r>
      <w:r w:rsidR="005606FD">
        <w:t>,</w:t>
      </w:r>
      <w:r>
        <w:t xml:space="preserve"> o której mowa w ust. 1</w:t>
      </w:r>
      <w:r w:rsidR="005606FD">
        <w:t>,</w:t>
      </w:r>
      <w:r>
        <w:t xml:space="preserve"> wpłynęła informacja o przekazaniu dokumentów osoby egzaminowanej z innego ośrodka egzaminowania, </w:t>
      </w:r>
      <w:r w:rsidR="005606FD">
        <w:t>organ wydający prawo jazdy lub pozwolenie</w:t>
      </w:r>
      <w:r>
        <w:t xml:space="preserve"> odblokowuje profil kandydata na kierowcę i blokuje go dla kolejnego ośrodka egzaminowania</w:t>
      </w:r>
      <w:r w:rsidR="008609CC">
        <w:t xml:space="preserve"> oraz</w:t>
      </w:r>
      <w:r w:rsidR="005606FD">
        <w:t xml:space="preserve"> przesyła informację o tym fakcie do tego ośrodka</w:t>
      </w:r>
      <w:r>
        <w:t>.</w:t>
      </w:r>
    </w:p>
    <w:p w:rsidR="00FD0F79" w:rsidRDefault="0017095B" w:rsidP="00FD0F79">
      <w:pPr>
        <w:pStyle w:val="Akapitzlist"/>
        <w:jc w:val="both"/>
      </w:pPr>
      <w:r>
        <w:t xml:space="preserve">§ 7b. W przypadku </w:t>
      </w:r>
      <w:r w:rsidR="005606FD">
        <w:t>gdy</w:t>
      </w:r>
      <w:r>
        <w:t xml:space="preserve"> dla osoby, której wygenerowano profil kandydata na kierowcę</w:t>
      </w:r>
      <w:r w:rsidR="008609CC">
        <w:t>,</w:t>
      </w:r>
      <w:r>
        <w:t xml:space="preserve"> do organu </w:t>
      </w:r>
      <w:r>
        <w:rPr>
          <w:rFonts w:cs="Times New Roman"/>
          <w:szCs w:val="24"/>
        </w:rPr>
        <w:t xml:space="preserve">wydającego prawo jazdy lub pozwolenie </w:t>
      </w:r>
      <w:r w:rsidR="00D43D38">
        <w:rPr>
          <w:rFonts w:cs="Times New Roman"/>
          <w:szCs w:val="24"/>
        </w:rPr>
        <w:t>wpłynęła podpisana przez dyrektora ośrodka egzaminowania informacja o pozytywnym</w:t>
      </w:r>
      <w:r w:rsidR="00EF18C0">
        <w:rPr>
          <w:rFonts w:cs="Times New Roman"/>
          <w:szCs w:val="24"/>
        </w:rPr>
        <w:t xml:space="preserve"> lub negatywnym wyniku </w:t>
      </w:r>
      <w:r w:rsidR="0062466D">
        <w:rPr>
          <w:rFonts w:cs="Times New Roman"/>
          <w:szCs w:val="24"/>
        </w:rPr>
        <w:t xml:space="preserve">egzaminu państwowego </w:t>
      </w:r>
      <w:r w:rsidR="00EF18C0">
        <w:rPr>
          <w:rFonts w:cs="Times New Roman"/>
          <w:szCs w:val="24"/>
        </w:rPr>
        <w:t>dotycząca osoby</w:t>
      </w:r>
      <w:r w:rsidR="0062466D">
        <w:rPr>
          <w:rFonts w:cs="Times New Roman"/>
          <w:szCs w:val="24"/>
        </w:rPr>
        <w:t>,</w:t>
      </w:r>
      <w:r w:rsidR="00EF18C0">
        <w:rPr>
          <w:rFonts w:cs="Times New Roman"/>
          <w:szCs w:val="24"/>
        </w:rPr>
        <w:t xml:space="preserve"> o której mowa w § 11 ust. 4 </w:t>
      </w:r>
      <w:r w:rsidR="00EF18C0">
        <w:t>rozporządzeni</w:t>
      </w:r>
      <w:r w:rsidR="0062466D">
        <w:t>a</w:t>
      </w:r>
      <w:r w:rsidR="00EF18C0">
        <w:t xml:space="preserve"> Ministra Transportu, Budownictwa i Gospodarki Morskiej z dnia 13 lipca 2012 r. w sprawie egzaminowania osób ubiegających się o uprawnienia do </w:t>
      </w:r>
      <w:r w:rsidR="00EF18C0">
        <w:lastRenderedPageBreak/>
        <w:t>kierowania pojazdami, szkolenia, egzaminowania i uzyskiwania uprawnień przez egzaminatorów oraz wzorów dokumentów stosowanych w tych sprawach</w:t>
      </w:r>
      <w:r w:rsidR="005606FD">
        <w:t xml:space="preserve"> (Dz. U. poz. 995</w:t>
      </w:r>
      <w:r w:rsidR="009048D5">
        <w:t xml:space="preserve"> i </w:t>
      </w:r>
      <w:proofErr w:type="spellStart"/>
      <w:r w:rsidR="009048D5">
        <w:t>poz</w:t>
      </w:r>
      <w:proofErr w:type="spellEnd"/>
      <w:r w:rsidR="009048D5">
        <w:t>…..</w:t>
      </w:r>
      <w:r w:rsidR="005606FD">
        <w:t>)</w:t>
      </w:r>
      <w:r w:rsidR="00EF18C0">
        <w:t>,</w:t>
      </w:r>
      <w:r w:rsidR="009048D5">
        <w:t xml:space="preserve"> organ wydający prawo jazdy lub pozwolenie</w:t>
      </w:r>
      <w:r w:rsidR="00EF18C0">
        <w:t xml:space="preserve"> </w:t>
      </w:r>
      <w:r w:rsidR="009048D5">
        <w:t xml:space="preserve">na jej podstawie uzupełnia informacje w profilu kandydata na kierowcę o dane dotyczące przeprowadzonego egzaminu państwowego </w:t>
      </w:r>
      <w:r w:rsidR="005606FD">
        <w:t>i przesyła informację o tym fakcie do tego ośrodka</w:t>
      </w:r>
      <w:r w:rsidR="00EF18C0">
        <w:t>.</w:t>
      </w:r>
      <w:r>
        <w:t>”</w:t>
      </w:r>
      <w:r w:rsidR="008609CC">
        <w:t>.</w:t>
      </w:r>
    </w:p>
    <w:p w:rsidR="00A6796D" w:rsidRDefault="00A6796D" w:rsidP="00FD0F79">
      <w:pPr>
        <w:pStyle w:val="Akapitzlist"/>
        <w:jc w:val="both"/>
      </w:pPr>
    </w:p>
    <w:p w:rsidR="006D3AC1" w:rsidRDefault="00A6796D" w:rsidP="006D3AC1">
      <w:pPr>
        <w:pStyle w:val="Akapitzlist"/>
        <w:numPr>
          <w:ilvl w:val="0"/>
          <w:numId w:val="13"/>
        </w:numPr>
        <w:ind w:left="567" w:hanging="567"/>
        <w:jc w:val="both"/>
        <w:rPr>
          <w:rFonts w:cs="Times New Roman"/>
          <w:szCs w:val="24"/>
        </w:rPr>
      </w:pPr>
      <w:r w:rsidRPr="00391247">
        <w:rPr>
          <w:color w:val="000000"/>
          <w:szCs w:val="24"/>
          <w:lang w:eastAsia="pl-PL"/>
        </w:rPr>
        <w:t xml:space="preserve">Rozporządzenie </w:t>
      </w:r>
      <w:r w:rsidRPr="00266F67">
        <w:rPr>
          <w:rFonts w:cs="Times New Roman"/>
          <w:szCs w:val="24"/>
        </w:rPr>
        <w:t xml:space="preserve">wchodzi </w:t>
      </w:r>
      <w:r w:rsidR="009048D5">
        <w:rPr>
          <w:rFonts w:cs="Times New Roman"/>
          <w:szCs w:val="24"/>
        </w:rPr>
        <w:t xml:space="preserve">w życie </w:t>
      </w:r>
      <w:r w:rsidRPr="00266F67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>dniu</w:t>
      </w:r>
      <w:r w:rsidR="006D3AC1">
        <w:rPr>
          <w:rFonts w:cs="Times New Roman"/>
          <w:szCs w:val="24"/>
        </w:rPr>
        <w:t xml:space="preserve"> następującym po dniu ogłoszenia.</w:t>
      </w:r>
    </w:p>
    <w:p w:rsidR="006D3AC1" w:rsidRDefault="006D3AC1" w:rsidP="006D3AC1">
      <w:pPr>
        <w:jc w:val="both"/>
        <w:rPr>
          <w:b/>
        </w:rPr>
      </w:pPr>
    </w:p>
    <w:p w:rsidR="006D3AC1" w:rsidRDefault="006D3AC1" w:rsidP="006D3AC1">
      <w:pPr>
        <w:ind w:left="4248" w:firstLine="708"/>
        <w:jc w:val="center"/>
        <w:rPr>
          <w:b/>
        </w:rPr>
      </w:pPr>
    </w:p>
    <w:p w:rsidR="006D3AC1" w:rsidRDefault="006D3AC1" w:rsidP="006D3AC1">
      <w:pPr>
        <w:ind w:left="4248" w:firstLine="708"/>
        <w:jc w:val="center"/>
        <w:rPr>
          <w:b/>
        </w:rPr>
      </w:pPr>
      <w:r w:rsidRPr="006D3AC1">
        <w:rPr>
          <w:b/>
        </w:rPr>
        <w:t xml:space="preserve">Minister </w:t>
      </w:r>
    </w:p>
    <w:p w:rsidR="006D3AC1" w:rsidRDefault="006D3AC1" w:rsidP="006D3AC1">
      <w:pPr>
        <w:ind w:left="4248" w:firstLine="708"/>
        <w:jc w:val="center"/>
        <w:rPr>
          <w:b/>
        </w:rPr>
      </w:pPr>
      <w:r w:rsidRPr="006D3AC1">
        <w:rPr>
          <w:b/>
        </w:rPr>
        <w:t>Transportu, Budownictwa</w:t>
      </w:r>
      <w:r>
        <w:rPr>
          <w:b/>
        </w:rPr>
        <w:t xml:space="preserve"> </w:t>
      </w:r>
    </w:p>
    <w:p w:rsidR="006D3AC1" w:rsidRPr="006D3AC1" w:rsidRDefault="006D3AC1" w:rsidP="006D3AC1">
      <w:pPr>
        <w:ind w:left="4248" w:firstLine="708"/>
        <w:jc w:val="center"/>
        <w:rPr>
          <w:rFonts w:cs="Times New Roman"/>
          <w:szCs w:val="24"/>
        </w:rPr>
      </w:pPr>
      <w:r w:rsidRPr="006D3AC1">
        <w:rPr>
          <w:b/>
        </w:rPr>
        <w:t>i Gospodarki Morskiej</w:t>
      </w:r>
    </w:p>
    <w:p w:rsidR="006D3AC1" w:rsidRDefault="006D3AC1" w:rsidP="006D3AC1">
      <w:pPr>
        <w:spacing w:after="120"/>
      </w:pPr>
    </w:p>
    <w:p w:rsidR="006D3AC1" w:rsidRDefault="006D3AC1" w:rsidP="006D3AC1">
      <w:pPr>
        <w:spacing w:after="120"/>
      </w:pPr>
    </w:p>
    <w:p w:rsidR="006D3AC1" w:rsidRDefault="006D3AC1" w:rsidP="006D3AC1">
      <w:pPr>
        <w:spacing w:after="120"/>
      </w:pPr>
      <w:r>
        <w:t>w porozumieniu:</w:t>
      </w:r>
    </w:p>
    <w:p w:rsidR="006D3AC1" w:rsidRPr="00977A8B" w:rsidRDefault="006D3AC1" w:rsidP="006D3AC1">
      <w:pPr>
        <w:spacing w:after="120"/>
        <w:rPr>
          <w:b/>
        </w:rPr>
      </w:pPr>
      <w:r w:rsidRPr="00977A8B">
        <w:rPr>
          <w:b/>
        </w:rPr>
        <w:t xml:space="preserve">Minister Spraw Wewnętrznych </w:t>
      </w:r>
    </w:p>
    <w:p w:rsidR="006D3AC1" w:rsidRDefault="006D3AC1" w:rsidP="006D3AC1">
      <w:pPr>
        <w:spacing w:after="120"/>
        <w:jc w:val="center"/>
      </w:pPr>
    </w:p>
    <w:p w:rsidR="00A6796D" w:rsidRDefault="00A6796D" w:rsidP="0031528A">
      <w:pPr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8609CC" w:rsidRDefault="008609CC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8609CC" w:rsidRDefault="008609CC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A6796D" w:rsidRDefault="00A6796D" w:rsidP="00A6796D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D26F13" w:rsidRDefault="00D26F13" w:rsidP="00D26F13">
      <w:pPr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UZASADNIENIE</w:t>
      </w:r>
    </w:p>
    <w:p w:rsidR="00D26F13" w:rsidRDefault="00D26F13" w:rsidP="00D26F13">
      <w:pPr>
        <w:rPr>
          <w:rFonts w:eastAsia="Times New Roman" w:cs="Times New Roman"/>
          <w:szCs w:val="24"/>
          <w:lang w:eastAsia="pl-PL"/>
        </w:rPr>
      </w:pP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dniu </w:t>
      </w:r>
      <w:r w:rsidRPr="002E0C74">
        <w:rPr>
          <w:rFonts w:cs="Times New Roman"/>
          <w:szCs w:val="24"/>
        </w:rPr>
        <w:t>31 lipca 2012 r.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Minister Transportu, Budownictwa i Gospodarki Morskiej podpisał rozporządzenie </w:t>
      </w:r>
      <w:r w:rsidRPr="002E0C74">
        <w:rPr>
          <w:rFonts w:cs="Times New Roman"/>
          <w:szCs w:val="24"/>
        </w:rPr>
        <w:t>w sprawie wydawania dokumentów stwierdzających uprawnienia do kierowania pojazdami</w:t>
      </w:r>
      <w:r>
        <w:rPr>
          <w:rFonts w:cs="Times New Roman"/>
          <w:szCs w:val="24"/>
        </w:rPr>
        <w:t>.</w:t>
      </w:r>
      <w:r>
        <w:rPr>
          <w:rFonts w:eastAsia="Times New Roman" w:cs="Times New Roman"/>
          <w:bCs/>
          <w:szCs w:val="20"/>
          <w:lang w:eastAsia="pl-PL"/>
        </w:rPr>
        <w:t xml:space="preserve"> Rozporządzenie to zostało opublikowane w Dzienniku Ustaw pod pozycją 1005. 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 xml:space="preserve">Rozporządzenie to, na podstawie upoważnienia określonego w </w:t>
      </w:r>
      <w:r w:rsidR="00B55721">
        <w:rPr>
          <w:rFonts w:eastAsia="Times New Roman" w:cs="Times New Roman"/>
          <w:bCs/>
          <w:szCs w:val="20"/>
          <w:lang w:eastAsia="pl-PL"/>
        </w:rPr>
        <w:t xml:space="preserve">art. 20 ust. 1 pkt 2 </w:t>
      </w:r>
      <w:r>
        <w:rPr>
          <w:rFonts w:eastAsia="Times New Roman" w:cs="Times New Roman"/>
          <w:bCs/>
          <w:szCs w:val="20"/>
          <w:lang w:eastAsia="pl-PL"/>
        </w:rPr>
        <w:t>ustaw</w:t>
      </w:r>
      <w:r w:rsidR="00B55721">
        <w:rPr>
          <w:rFonts w:eastAsia="Times New Roman" w:cs="Times New Roman"/>
          <w:bCs/>
          <w:szCs w:val="20"/>
          <w:lang w:eastAsia="pl-PL"/>
        </w:rPr>
        <w:t>y</w:t>
      </w:r>
      <w:r>
        <w:rPr>
          <w:rFonts w:eastAsia="Times New Roman" w:cs="Times New Roman"/>
          <w:bCs/>
          <w:szCs w:val="20"/>
          <w:lang w:eastAsia="pl-PL"/>
        </w:rPr>
        <w:t xml:space="preserve"> z dnia 5 stycznia 2011 r. o kierujących pojazdami, określiło między innymi sposób obiegu dokumentów w procesie uzyskiwania uprawnień do kierowania pojazdami, a w szczególności sposób obiegu dokumentów osób ubiegających się o te uprawnienia w wojewódzkim ośrodku ruchu drogowego. W początkow</w:t>
      </w:r>
      <w:r w:rsidR="00B55721">
        <w:rPr>
          <w:rFonts w:eastAsia="Times New Roman" w:cs="Times New Roman"/>
          <w:bCs/>
          <w:szCs w:val="20"/>
          <w:lang w:eastAsia="pl-PL"/>
        </w:rPr>
        <w:t>ej wersji</w:t>
      </w:r>
      <w:r>
        <w:rPr>
          <w:rFonts w:eastAsia="Times New Roman" w:cs="Times New Roman"/>
          <w:bCs/>
          <w:szCs w:val="20"/>
          <w:lang w:eastAsia="pl-PL"/>
        </w:rPr>
        <w:t xml:space="preserve"> projek</w:t>
      </w:r>
      <w:r w:rsidR="00B55721">
        <w:rPr>
          <w:rFonts w:eastAsia="Times New Roman" w:cs="Times New Roman"/>
          <w:bCs/>
          <w:szCs w:val="20"/>
          <w:lang w:eastAsia="pl-PL"/>
        </w:rPr>
        <w:t>tu</w:t>
      </w:r>
      <w:r>
        <w:rPr>
          <w:rFonts w:eastAsia="Times New Roman" w:cs="Times New Roman"/>
          <w:bCs/>
          <w:szCs w:val="20"/>
          <w:lang w:eastAsia="pl-PL"/>
        </w:rPr>
        <w:t xml:space="preserve"> przedmiotowego rozporządzenia zaproponowano dwie równoległe metody obsługi kandydatów na kierowców</w:t>
      </w:r>
      <w:r w:rsidR="00B55721">
        <w:rPr>
          <w:rFonts w:eastAsia="Times New Roman" w:cs="Times New Roman"/>
          <w:bCs/>
          <w:szCs w:val="20"/>
          <w:lang w:eastAsia="pl-PL"/>
        </w:rPr>
        <w:t xml:space="preserve"> w procesie ubiegania się o uprawnienia do kierowania pojazdami</w:t>
      </w:r>
      <w:r>
        <w:rPr>
          <w:rFonts w:eastAsia="Times New Roman" w:cs="Times New Roman"/>
          <w:bCs/>
          <w:szCs w:val="20"/>
          <w:lang w:eastAsia="pl-PL"/>
        </w:rPr>
        <w:t xml:space="preserve">, metodę papierową opartą na drukowanym profilu kandydata na kierowcę, </w:t>
      </w:r>
      <w:r w:rsidR="00B55721">
        <w:rPr>
          <w:rFonts w:eastAsia="Times New Roman" w:cs="Times New Roman"/>
          <w:bCs/>
          <w:szCs w:val="20"/>
          <w:lang w:eastAsia="pl-PL"/>
        </w:rPr>
        <w:t>oraz metodę elektroniczną opartą</w:t>
      </w:r>
      <w:r>
        <w:rPr>
          <w:rFonts w:eastAsia="Times New Roman" w:cs="Times New Roman"/>
          <w:bCs/>
          <w:szCs w:val="20"/>
          <w:lang w:eastAsia="pl-PL"/>
        </w:rPr>
        <w:t xml:space="preserve"> na elektronicznym profilu kandydata na kierowcę. Podczas prac legislacyjnych nad przygotowanym rozporządzeniem, mając na względzie uwagi zgłaszane prze</w:t>
      </w:r>
      <w:r w:rsidR="00B55721">
        <w:rPr>
          <w:rFonts w:eastAsia="Times New Roman" w:cs="Times New Roman"/>
          <w:bCs/>
          <w:szCs w:val="20"/>
          <w:lang w:eastAsia="pl-PL"/>
        </w:rPr>
        <w:t>z</w:t>
      </w:r>
      <w:r>
        <w:rPr>
          <w:rFonts w:eastAsia="Times New Roman" w:cs="Times New Roman"/>
          <w:bCs/>
          <w:szCs w:val="20"/>
          <w:lang w:eastAsia="pl-PL"/>
        </w:rPr>
        <w:t xml:space="preserve"> poszczególne resorty, oraz decyzje podjęte na komisji prawniczej </w:t>
      </w:r>
      <w:r w:rsidR="00B55721">
        <w:rPr>
          <w:rFonts w:eastAsia="Times New Roman" w:cs="Times New Roman"/>
          <w:bCs/>
          <w:szCs w:val="20"/>
          <w:lang w:eastAsia="pl-PL"/>
        </w:rPr>
        <w:t xml:space="preserve">w </w:t>
      </w:r>
      <w:r>
        <w:rPr>
          <w:rFonts w:eastAsia="Times New Roman" w:cs="Times New Roman"/>
          <w:bCs/>
          <w:szCs w:val="20"/>
          <w:lang w:eastAsia="pl-PL"/>
        </w:rPr>
        <w:t>Rządow</w:t>
      </w:r>
      <w:r w:rsidR="00B55721">
        <w:rPr>
          <w:rFonts w:eastAsia="Times New Roman" w:cs="Times New Roman"/>
          <w:bCs/>
          <w:szCs w:val="20"/>
          <w:lang w:eastAsia="pl-PL"/>
        </w:rPr>
        <w:t>ym</w:t>
      </w:r>
      <w:r>
        <w:rPr>
          <w:rFonts w:eastAsia="Times New Roman" w:cs="Times New Roman"/>
          <w:bCs/>
          <w:szCs w:val="20"/>
          <w:lang w:eastAsia="pl-PL"/>
        </w:rPr>
        <w:t xml:space="preserve"> Centrum Legislacji postanowiono, że przedmiotowy obieg dokumentów będzie obiegiem wyłącznie elektronicznym opartym na wykorzystaniu systemów teleinformatycznych stosowanych przez organy wydające prawa jazdy oraz systemu teleinformatycznego wojewódzkiego ośrodka ruchu drogowego</w:t>
      </w:r>
      <w:r w:rsidR="008609CC">
        <w:rPr>
          <w:rFonts w:eastAsia="Times New Roman" w:cs="Times New Roman"/>
          <w:bCs/>
          <w:szCs w:val="20"/>
          <w:lang w:eastAsia="pl-PL"/>
        </w:rPr>
        <w:t xml:space="preserve"> (WORD)</w:t>
      </w:r>
      <w:r>
        <w:rPr>
          <w:rFonts w:eastAsia="Times New Roman" w:cs="Times New Roman"/>
          <w:bCs/>
          <w:szCs w:val="20"/>
          <w:lang w:eastAsia="pl-PL"/>
        </w:rPr>
        <w:t>.</w:t>
      </w:r>
    </w:p>
    <w:p w:rsidR="00A60062" w:rsidRDefault="00A60062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 w:rsidRPr="00424E73">
        <w:rPr>
          <w:szCs w:val="24"/>
        </w:rPr>
        <w:t xml:space="preserve">Zgodnie z </w:t>
      </w:r>
      <w:r>
        <w:rPr>
          <w:szCs w:val="24"/>
        </w:rPr>
        <w:t>przyjętym</w:t>
      </w:r>
      <w:r w:rsidRPr="00424E73">
        <w:rPr>
          <w:szCs w:val="24"/>
        </w:rPr>
        <w:t xml:space="preserve"> rozwiązaniem osoba, która podejmie decyzje o rozpoczęciu szkolenia mo</w:t>
      </w:r>
      <w:r>
        <w:rPr>
          <w:szCs w:val="24"/>
        </w:rPr>
        <w:t>że</w:t>
      </w:r>
      <w:r w:rsidRPr="00424E73">
        <w:rPr>
          <w:szCs w:val="24"/>
        </w:rPr>
        <w:t xml:space="preserve"> złożyć wniosek o wydanie prawa jazdy drogą elektroniczną załączając do niego niezbędne dokumenty. Starosta na podstawie takiego wniosku, po dokonaniu weryfikacji dokumentów, gener</w:t>
      </w:r>
      <w:r>
        <w:rPr>
          <w:szCs w:val="24"/>
        </w:rPr>
        <w:t>uje</w:t>
      </w:r>
      <w:r w:rsidRPr="00424E73">
        <w:rPr>
          <w:szCs w:val="24"/>
        </w:rPr>
        <w:t xml:space="preserve"> w systemie teleinformatycznym </w:t>
      </w:r>
      <w:r>
        <w:rPr>
          <w:szCs w:val="24"/>
        </w:rPr>
        <w:t>profil</w:t>
      </w:r>
      <w:r w:rsidRPr="00424E73">
        <w:rPr>
          <w:szCs w:val="24"/>
        </w:rPr>
        <w:t xml:space="preserve"> kandyda</w:t>
      </w:r>
      <w:r>
        <w:rPr>
          <w:szCs w:val="24"/>
        </w:rPr>
        <w:t>ta</w:t>
      </w:r>
      <w:r w:rsidRPr="00424E73">
        <w:rPr>
          <w:szCs w:val="24"/>
        </w:rPr>
        <w:t xml:space="preserve"> na kierowcę.</w:t>
      </w:r>
      <w:r>
        <w:rPr>
          <w:szCs w:val="24"/>
        </w:rPr>
        <w:t xml:space="preserve"> </w:t>
      </w:r>
      <w:r w:rsidRPr="00424E73">
        <w:rPr>
          <w:szCs w:val="24"/>
        </w:rPr>
        <w:t xml:space="preserve">W przypadku niespełnienia wymagań ustawowych do rozpoczęcia szkolenia albo niespełnienia wymagań ustawowych do wydania uprawnień dla osób niepodlegających procesowi szkolenia, </w:t>
      </w:r>
      <w:r>
        <w:rPr>
          <w:szCs w:val="24"/>
        </w:rPr>
        <w:t>profil</w:t>
      </w:r>
      <w:r w:rsidRPr="00424E73">
        <w:rPr>
          <w:szCs w:val="24"/>
        </w:rPr>
        <w:t xml:space="preserve"> nie </w:t>
      </w:r>
      <w:r>
        <w:rPr>
          <w:szCs w:val="24"/>
        </w:rPr>
        <w:t>jest</w:t>
      </w:r>
      <w:r w:rsidRPr="00424E73">
        <w:rPr>
          <w:szCs w:val="24"/>
        </w:rPr>
        <w:t xml:space="preserve"> generowan</w:t>
      </w:r>
      <w:r>
        <w:rPr>
          <w:szCs w:val="24"/>
        </w:rPr>
        <w:t>y</w:t>
      </w:r>
      <w:r w:rsidRPr="00424E73">
        <w:rPr>
          <w:szCs w:val="24"/>
        </w:rPr>
        <w:t>.</w:t>
      </w:r>
      <w:r>
        <w:rPr>
          <w:szCs w:val="24"/>
        </w:rPr>
        <w:t xml:space="preserve"> </w:t>
      </w:r>
      <w:r w:rsidRPr="00424E73">
        <w:rPr>
          <w:szCs w:val="24"/>
        </w:rPr>
        <w:t>Ośrodek szkolenia kierowców, przed rozpoczęciem szkolenia, pobiera wygenerowan</w:t>
      </w:r>
      <w:r>
        <w:rPr>
          <w:szCs w:val="24"/>
        </w:rPr>
        <w:t>y</w:t>
      </w:r>
      <w:r w:rsidRPr="00424E73">
        <w:rPr>
          <w:szCs w:val="24"/>
        </w:rPr>
        <w:t xml:space="preserve"> wcześniej </w:t>
      </w:r>
      <w:r>
        <w:rPr>
          <w:szCs w:val="24"/>
        </w:rPr>
        <w:t>profil</w:t>
      </w:r>
      <w:r w:rsidRPr="00424E73">
        <w:rPr>
          <w:szCs w:val="24"/>
        </w:rPr>
        <w:t xml:space="preserve"> kandyda</w:t>
      </w:r>
      <w:r>
        <w:rPr>
          <w:szCs w:val="24"/>
        </w:rPr>
        <w:t>ta</w:t>
      </w:r>
      <w:r w:rsidRPr="00424E73">
        <w:rPr>
          <w:szCs w:val="24"/>
        </w:rPr>
        <w:t xml:space="preserve"> na kierowcę z systemu teleinformatycznego, a po zakończeniu szkolenia </w:t>
      </w:r>
      <w:r>
        <w:rPr>
          <w:szCs w:val="24"/>
        </w:rPr>
        <w:t>aktualizuje go</w:t>
      </w:r>
      <w:r w:rsidRPr="00424E73">
        <w:rPr>
          <w:szCs w:val="24"/>
        </w:rPr>
        <w:t xml:space="preserve"> w zakresie zaświadczenia o ukończeniu szkolenia. Tak przygotowan</w:t>
      </w:r>
      <w:r>
        <w:rPr>
          <w:szCs w:val="24"/>
        </w:rPr>
        <w:t>y</w:t>
      </w:r>
      <w:r w:rsidRPr="00424E73">
        <w:rPr>
          <w:szCs w:val="24"/>
        </w:rPr>
        <w:t xml:space="preserve"> elektroniczn</w:t>
      </w:r>
      <w:r>
        <w:rPr>
          <w:szCs w:val="24"/>
        </w:rPr>
        <w:t>y</w:t>
      </w:r>
      <w:r w:rsidRPr="00424E73">
        <w:rPr>
          <w:szCs w:val="24"/>
        </w:rPr>
        <w:t xml:space="preserve"> </w:t>
      </w:r>
      <w:r>
        <w:rPr>
          <w:szCs w:val="24"/>
        </w:rPr>
        <w:t>profil</w:t>
      </w:r>
      <w:r w:rsidRPr="00424E73">
        <w:rPr>
          <w:szCs w:val="24"/>
        </w:rPr>
        <w:t xml:space="preserve"> kandyda</w:t>
      </w:r>
      <w:r>
        <w:rPr>
          <w:szCs w:val="24"/>
        </w:rPr>
        <w:t>ta</w:t>
      </w:r>
      <w:r w:rsidRPr="00424E73">
        <w:rPr>
          <w:szCs w:val="24"/>
        </w:rPr>
        <w:t xml:space="preserve"> na kierowcę umożliwi</w:t>
      </w:r>
      <w:r>
        <w:rPr>
          <w:szCs w:val="24"/>
        </w:rPr>
        <w:t>a</w:t>
      </w:r>
      <w:r w:rsidRPr="00424E73">
        <w:rPr>
          <w:szCs w:val="24"/>
        </w:rPr>
        <w:t xml:space="preserve"> przeprowadzenie egzaminu na prawo jazdy. Po zdanym egzaminie ośrodek egzaminowania uzupełni</w:t>
      </w:r>
      <w:r>
        <w:rPr>
          <w:szCs w:val="24"/>
        </w:rPr>
        <w:t>a</w:t>
      </w:r>
      <w:r w:rsidRPr="00424E73">
        <w:rPr>
          <w:szCs w:val="24"/>
        </w:rPr>
        <w:t xml:space="preserve"> w systemie teleinformatycznym </w:t>
      </w:r>
      <w:r>
        <w:rPr>
          <w:szCs w:val="24"/>
        </w:rPr>
        <w:t>profil</w:t>
      </w:r>
      <w:r w:rsidRPr="00424E73">
        <w:rPr>
          <w:szCs w:val="24"/>
        </w:rPr>
        <w:t xml:space="preserve"> kandyda</w:t>
      </w:r>
      <w:r>
        <w:rPr>
          <w:szCs w:val="24"/>
        </w:rPr>
        <w:t>ta</w:t>
      </w:r>
      <w:r w:rsidRPr="00424E73">
        <w:rPr>
          <w:szCs w:val="24"/>
        </w:rPr>
        <w:t xml:space="preserve"> na kierowcę o dane dotyczące wyniku egzaminu państwowego. Na podstawie wszystkich otrzymanych za pośrednictwem systemu teleinformatycznego danych organ</w:t>
      </w:r>
      <w:r>
        <w:rPr>
          <w:szCs w:val="24"/>
        </w:rPr>
        <w:t xml:space="preserve"> wydający uprawnienia do kierowania pojazdami</w:t>
      </w:r>
      <w:r w:rsidRPr="00424E73">
        <w:rPr>
          <w:szCs w:val="24"/>
        </w:rPr>
        <w:t xml:space="preserve"> </w:t>
      </w:r>
      <w:r>
        <w:rPr>
          <w:szCs w:val="24"/>
        </w:rPr>
        <w:t xml:space="preserve">nadaje </w:t>
      </w:r>
      <w:r w:rsidRPr="00424E73">
        <w:rPr>
          <w:szCs w:val="24"/>
        </w:rPr>
        <w:t>uprawnie</w:t>
      </w:r>
      <w:r>
        <w:rPr>
          <w:szCs w:val="24"/>
        </w:rPr>
        <w:t>nia</w:t>
      </w:r>
      <w:r w:rsidRPr="00424E73">
        <w:rPr>
          <w:szCs w:val="24"/>
        </w:rPr>
        <w:t xml:space="preserve"> do kierowania pojazdami, a następnie zam</w:t>
      </w:r>
      <w:r>
        <w:rPr>
          <w:szCs w:val="24"/>
        </w:rPr>
        <w:t>a</w:t>
      </w:r>
      <w:r w:rsidRPr="00424E73">
        <w:rPr>
          <w:szCs w:val="24"/>
        </w:rPr>
        <w:t>wi</w:t>
      </w:r>
      <w:r>
        <w:rPr>
          <w:szCs w:val="24"/>
        </w:rPr>
        <w:t>a</w:t>
      </w:r>
      <w:r w:rsidRPr="00424E73">
        <w:rPr>
          <w:szCs w:val="24"/>
        </w:rPr>
        <w:t xml:space="preserve"> prawo jazdy u producenta tych dokumentów</w:t>
      </w:r>
      <w:r>
        <w:rPr>
          <w:szCs w:val="24"/>
        </w:rPr>
        <w:t>.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>Przy tworzeniu procedury nie uwzględniono trybu postępowania z osobami egzaminowanymi w przypadku awarii systemu teleinformatycznego uniemożliwiającej łączność pomiędzy ww. systemami teleinformatycznymi. Taka awaria, w zależności od jej wielkości, może skutkować brakiem obsługi kandydatów na kierowców w wojewódzkich ośrodkach ruchu drogowego, w zakresie zapisu na egzamin, przystąpienia do egzaminu oraz przesłania informacji o zdanym egzaminie państwowym do właściwego organu wydającego prawo jazdy.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 xml:space="preserve">Biorąc pod uwagę konieczność zapewnienia ciągłości obsługi osób ubiegających się o uprawnienia do kierowania pojazdami, które niejednokrotnie muszą daleko dojeżdżać do ośrodków egzaminowania, w przedmiotowym </w:t>
      </w:r>
      <w:r w:rsidR="00A60062">
        <w:rPr>
          <w:rFonts w:eastAsia="Times New Roman" w:cs="Times New Roman"/>
          <w:bCs/>
          <w:szCs w:val="20"/>
          <w:lang w:eastAsia="pl-PL"/>
        </w:rPr>
        <w:t xml:space="preserve">projekcie </w:t>
      </w:r>
      <w:r>
        <w:rPr>
          <w:rFonts w:eastAsia="Times New Roman" w:cs="Times New Roman"/>
          <w:bCs/>
          <w:szCs w:val="20"/>
          <w:lang w:eastAsia="pl-PL"/>
        </w:rPr>
        <w:t>rozporządzeni</w:t>
      </w:r>
      <w:r w:rsidR="00A60062">
        <w:rPr>
          <w:rFonts w:eastAsia="Times New Roman" w:cs="Times New Roman"/>
          <w:bCs/>
          <w:szCs w:val="20"/>
          <w:lang w:eastAsia="pl-PL"/>
        </w:rPr>
        <w:t>a</w:t>
      </w:r>
      <w:r>
        <w:rPr>
          <w:rFonts w:eastAsia="Times New Roman" w:cs="Times New Roman"/>
          <w:bCs/>
          <w:szCs w:val="20"/>
          <w:lang w:eastAsia="pl-PL"/>
        </w:rPr>
        <w:t xml:space="preserve"> </w:t>
      </w:r>
      <w:r w:rsidR="00A60062">
        <w:rPr>
          <w:rFonts w:eastAsia="Times New Roman" w:cs="Times New Roman"/>
          <w:bCs/>
          <w:szCs w:val="20"/>
          <w:lang w:eastAsia="pl-PL"/>
        </w:rPr>
        <w:t xml:space="preserve">oraz w projekcie rozporządzenia zmieniającego </w:t>
      </w:r>
      <w:r w:rsidR="00A60062">
        <w:t xml:space="preserve">rozporządzenie Ministra Transportu, Budownictwa i Gospodarki Morskiej z dnia 13 lipca 2012 r. w sprawie egzaminowania osób ubiegających się </w:t>
      </w:r>
      <w:r w:rsidR="00A60062">
        <w:lastRenderedPageBreak/>
        <w:t>o uprawnienia do kierowania pojazdami, szkolenia, egzaminowania i uzyskiwania uprawnień przez egzaminatorów oraz wzorów dokumentów stosowanych w tych sprawach (Dz. U. poz. 995) procedowanego jednocześnie</w:t>
      </w:r>
      <w:r w:rsidR="008609CC">
        <w:t>,</w:t>
      </w:r>
      <w:r w:rsidR="00A60062">
        <w:rPr>
          <w:rFonts w:eastAsia="Times New Roman" w:cs="Times New Roman"/>
          <w:bCs/>
          <w:szCs w:val="20"/>
          <w:lang w:eastAsia="pl-PL"/>
        </w:rPr>
        <w:t xml:space="preserve"> zaproponowano</w:t>
      </w:r>
      <w:r>
        <w:rPr>
          <w:rFonts w:eastAsia="Times New Roman" w:cs="Times New Roman"/>
          <w:bCs/>
          <w:szCs w:val="20"/>
          <w:lang w:eastAsia="pl-PL"/>
        </w:rPr>
        <w:t xml:space="preserve"> zastosowanie procedury awaryjnego postępowania w przypadku </w:t>
      </w:r>
      <w:r w:rsidR="00B55721">
        <w:rPr>
          <w:rFonts w:eastAsia="Times New Roman" w:cs="Times New Roman"/>
          <w:bCs/>
          <w:szCs w:val="20"/>
          <w:lang w:eastAsia="pl-PL"/>
        </w:rPr>
        <w:t>gdy</w:t>
      </w:r>
      <w:r>
        <w:rPr>
          <w:rFonts w:eastAsia="Times New Roman" w:cs="Times New Roman"/>
          <w:bCs/>
          <w:szCs w:val="20"/>
          <w:lang w:eastAsia="pl-PL"/>
        </w:rPr>
        <w:t xml:space="preserve"> zaistnieje awaria systemu teleinformatycznego wojewódzkiego ośrodka ruchu drogowego.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 xml:space="preserve">W celu zapewnienia, że do egzaminu podchodzi osoba spełniająca wszystkie wymagania wynikające z przepisów ustawy </w:t>
      </w:r>
      <w:r w:rsidR="00A60062">
        <w:rPr>
          <w:rFonts w:eastAsia="Times New Roman" w:cs="Times New Roman"/>
          <w:bCs/>
          <w:szCs w:val="20"/>
          <w:lang w:eastAsia="pl-PL"/>
        </w:rPr>
        <w:t xml:space="preserve">z dnia 5 stycznia 2011 r. </w:t>
      </w:r>
      <w:r>
        <w:rPr>
          <w:rFonts w:eastAsia="Times New Roman" w:cs="Times New Roman"/>
          <w:bCs/>
          <w:szCs w:val="20"/>
          <w:lang w:eastAsia="pl-PL"/>
        </w:rPr>
        <w:t>o kierujących pojazdami, w momencie zapisu na egzamin osoba ta musi potwierdzić w formie oświadczenia, że spełnia te wymagania. Dodatkowo w celu zapewnienia, że osoba egzaminowana może przystąpić do egzaminu WORD musi dokonać sprawdzenia cz</w:t>
      </w:r>
      <w:r w:rsidR="00A60062">
        <w:rPr>
          <w:rFonts w:eastAsia="Times New Roman" w:cs="Times New Roman"/>
          <w:bCs/>
          <w:szCs w:val="20"/>
          <w:lang w:eastAsia="pl-PL"/>
        </w:rPr>
        <w:t>y</w:t>
      </w:r>
      <w:r>
        <w:rPr>
          <w:rFonts w:eastAsia="Times New Roman" w:cs="Times New Roman"/>
          <w:bCs/>
          <w:szCs w:val="20"/>
          <w:lang w:eastAsia="pl-PL"/>
        </w:rPr>
        <w:t xml:space="preserve"> ta sama osoba nie przystępuje do egzaminu w innym WORD. Sprawdzenie to dokonuje się poprzez kontakt ze starostwem, które wygenerowało profil kandydata na kierowcę. W celu zapewnienia właściwego postępowania w dalszej procedurze uzyskiwania uprawnień </w:t>
      </w:r>
      <w:r w:rsidR="00A60062">
        <w:rPr>
          <w:rFonts w:eastAsia="Times New Roman" w:cs="Times New Roman"/>
          <w:bCs/>
          <w:szCs w:val="20"/>
          <w:lang w:eastAsia="pl-PL"/>
        </w:rPr>
        <w:t>s</w:t>
      </w:r>
      <w:r>
        <w:rPr>
          <w:rFonts w:eastAsia="Times New Roman" w:cs="Times New Roman"/>
          <w:bCs/>
          <w:szCs w:val="20"/>
          <w:lang w:eastAsia="pl-PL"/>
        </w:rPr>
        <w:t>tarost</w:t>
      </w:r>
      <w:r w:rsidR="00423678">
        <w:rPr>
          <w:rFonts w:eastAsia="Times New Roman" w:cs="Times New Roman"/>
          <w:bCs/>
          <w:szCs w:val="20"/>
          <w:lang w:eastAsia="pl-PL"/>
        </w:rPr>
        <w:t>a</w:t>
      </w:r>
      <w:r>
        <w:rPr>
          <w:rFonts w:eastAsia="Times New Roman" w:cs="Times New Roman"/>
          <w:bCs/>
          <w:szCs w:val="20"/>
          <w:lang w:eastAsia="pl-PL"/>
        </w:rPr>
        <w:t xml:space="preserve"> dokona zablokowania profilu kandydata na kierowcę dla danej osoby w konkretnym WORD. Określono także procedurę postępowania przy przesyłaniu informacji do właściwego starosty.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>Zastosowanie zaproponowanej procedury gwarantuje osobom egzaminowanym ciągłość zapisów na egzamin oraz przeprowadzania egzaminów państwowych na prawo jazdy pomimo awarii systemu teleinformatycznego.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 xml:space="preserve">Projekt aktu normatywnego nie wymaga notyfikacji zgodnie z trybem przewidzianym w przepisach dotyczących sposobu funkcjonowania krajowego systemu notyfikacji norm </w:t>
      </w:r>
      <w:r>
        <w:rPr>
          <w:rFonts w:eastAsia="Times New Roman" w:cs="Times New Roman"/>
          <w:bCs/>
          <w:szCs w:val="20"/>
          <w:lang w:eastAsia="pl-PL"/>
        </w:rPr>
        <w:br/>
        <w:t xml:space="preserve">i aktów prawnych. 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>Projekt nie podlega konsultacjom, zaopiniowaniu lub uzgodnieniu z właściwymi instytucjami i organami Unii Europejskiej lub Europejskim Bankiem Centralnym.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 xml:space="preserve">Projekt rozporządzenia podlega rozpatrzeniu przez Komisję Wspólną Rządu </w:t>
      </w:r>
      <w:r>
        <w:rPr>
          <w:rFonts w:eastAsia="Times New Roman" w:cs="Times New Roman"/>
          <w:bCs/>
          <w:szCs w:val="20"/>
          <w:lang w:eastAsia="pl-PL"/>
        </w:rPr>
        <w:br/>
        <w:t xml:space="preserve">i Samorządu Terytorialnego. 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>Przepisy rozporządzenia nie są regulowane prawem Unii Europejskiej.</w:t>
      </w:r>
    </w:p>
    <w:p w:rsidR="00D26F13" w:rsidRDefault="00D26F13" w:rsidP="00D26F13">
      <w:pPr>
        <w:ind w:firstLine="708"/>
        <w:jc w:val="both"/>
        <w:rPr>
          <w:rFonts w:eastAsia="Times New Roman" w:cs="Times New Roman"/>
          <w:bCs/>
          <w:szCs w:val="20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423678" w:rsidRDefault="00423678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423678" w:rsidRDefault="00423678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423678" w:rsidRDefault="00423678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i/>
          <w:szCs w:val="24"/>
          <w:lang w:eastAsia="pl-PL"/>
        </w:rPr>
      </w:pPr>
    </w:p>
    <w:p w:rsidR="00D26F13" w:rsidRDefault="00D26F13" w:rsidP="00D26F13">
      <w:pPr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OCENA SKUTKÓW REGULACJI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b/>
          <w:szCs w:val="24"/>
          <w:lang w:eastAsia="pl-PL"/>
        </w:rPr>
      </w:pPr>
      <w:r>
        <w:rPr>
          <w:rFonts w:eastAsia="Calibri" w:cs="Times New Roman"/>
          <w:b/>
          <w:szCs w:val="24"/>
          <w:lang w:eastAsia="pl-PL"/>
        </w:rPr>
        <w:t>1. Podmioty</w:t>
      </w:r>
      <w:r w:rsidR="00A60062">
        <w:rPr>
          <w:rFonts w:eastAsia="Calibri" w:cs="Times New Roman"/>
          <w:b/>
          <w:szCs w:val="24"/>
          <w:lang w:eastAsia="pl-PL"/>
        </w:rPr>
        <w:t>,</w:t>
      </w:r>
      <w:r>
        <w:rPr>
          <w:rFonts w:eastAsia="Calibri" w:cs="Times New Roman"/>
          <w:b/>
          <w:szCs w:val="24"/>
          <w:lang w:eastAsia="pl-PL"/>
        </w:rPr>
        <w:t xml:space="preserve"> na które oddziałuje akt normatywny:</w:t>
      </w:r>
    </w:p>
    <w:p w:rsidR="00D26F13" w:rsidRDefault="00D26F13" w:rsidP="00D26F13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osoby ubiegające się o uzyskanie uprawnienia do kierowania pojazdami,</w:t>
      </w:r>
    </w:p>
    <w:p w:rsidR="00D26F13" w:rsidRDefault="00D26F13" w:rsidP="00D26F13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wojewódzkie ośrodki ruchu drogowego,</w:t>
      </w:r>
    </w:p>
    <w:p w:rsidR="00D26F13" w:rsidRDefault="00D26F13" w:rsidP="00D26F13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organy </w:t>
      </w:r>
      <w:r w:rsidR="00A60062">
        <w:rPr>
          <w:rFonts w:eastAsia="Times New Roman" w:cs="Times New Roman"/>
          <w:szCs w:val="24"/>
          <w:lang w:eastAsia="pl-PL"/>
        </w:rPr>
        <w:t>wydające uprawnienia do kierowania pojazdami</w:t>
      </w:r>
      <w:r>
        <w:rPr>
          <w:rFonts w:eastAsia="Times New Roman" w:cs="Times New Roman"/>
          <w:szCs w:val="24"/>
          <w:lang w:eastAsia="pl-PL"/>
        </w:rPr>
        <w:t>,</w:t>
      </w:r>
    </w:p>
    <w:p w:rsidR="00D26F13" w:rsidRDefault="00D26F13" w:rsidP="00D26F13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urzędy marszałkowskie</w:t>
      </w:r>
    </w:p>
    <w:p w:rsidR="00D26F13" w:rsidRDefault="00D26F13" w:rsidP="00D26F13">
      <w:pPr>
        <w:jc w:val="both"/>
        <w:rPr>
          <w:rFonts w:eastAsia="Times New Roman" w:cs="Times New Roman"/>
          <w:b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2. Konsultacje społeczne:</w:t>
      </w: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b/>
          <w:szCs w:val="24"/>
          <w:lang w:eastAsia="pl-PL"/>
        </w:rPr>
      </w:pP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Rozporządzenie zostanie przekazane do konsultacji społecznych następującym organizacjom społecznym:</w:t>
      </w: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szCs w:val="24"/>
          <w:lang w:eastAsia="pl-PL"/>
        </w:rPr>
      </w:pPr>
    </w:p>
    <w:p w:rsidR="00D26F13" w:rsidRDefault="00D26F13" w:rsidP="00D26F13">
      <w:pPr>
        <w:pStyle w:val="Akapitzlist"/>
        <w:keepNext/>
        <w:numPr>
          <w:ilvl w:val="0"/>
          <w:numId w:val="16"/>
        </w:numPr>
        <w:jc w:val="both"/>
        <w:outlineLvl w:val="0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Ogólnopolskie Stowarzyszenie Szefów Wydziałów Komunikacji, ul. Jackowskiego 18/20 60-509 Poznań</w:t>
      </w:r>
      <w:r w:rsidR="00751E85">
        <w:rPr>
          <w:rFonts w:eastAsia="Calibri" w:cs="Times New Roman"/>
          <w:szCs w:val="24"/>
          <w:lang w:eastAsia="pl-PL"/>
        </w:rPr>
        <w:t>;</w:t>
      </w:r>
    </w:p>
    <w:p w:rsidR="00D26F13" w:rsidRDefault="00D26F13" w:rsidP="00D26F13">
      <w:pPr>
        <w:pStyle w:val="Akapitzlist"/>
        <w:keepNext/>
        <w:numPr>
          <w:ilvl w:val="0"/>
          <w:numId w:val="16"/>
        </w:numPr>
        <w:jc w:val="both"/>
        <w:outlineLvl w:val="0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Krajowe Stowarzyszenie Dyrektorów Wojewódzkich Ośrodków Ruchu Drogowego, ul. Odlewnicza  8, 03-231 Warszawa</w:t>
      </w:r>
      <w:r w:rsidR="00751E85">
        <w:rPr>
          <w:rFonts w:eastAsia="Calibri" w:cs="Times New Roman"/>
          <w:szCs w:val="24"/>
          <w:lang w:eastAsia="pl-PL"/>
        </w:rPr>
        <w:t>;</w:t>
      </w:r>
    </w:p>
    <w:p w:rsidR="00D26F13" w:rsidRDefault="00D26F13" w:rsidP="00D26F13">
      <w:pPr>
        <w:pStyle w:val="Akapitzlist"/>
        <w:keepNext/>
        <w:numPr>
          <w:ilvl w:val="0"/>
          <w:numId w:val="16"/>
        </w:numPr>
        <w:jc w:val="both"/>
        <w:outlineLvl w:val="0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 xml:space="preserve">Polska Federacja Stowarzyszeń Szkół Kierowców, ul. Jagiellońska 80, Warszawa, </w:t>
      </w:r>
      <w:r>
        <w:rPr>
          <w:rFonts w:eastAsia="Calibri" w:cs="Times New Roman"/>
          <w:szCs w:val="24"/>
          <w:lang w:eastAsia="pl-PL"/>
        </w:rPr>
        <w:br/>
        <w:t>adres korespondencyjny: OSK AUTO-BIS, ul. św. Antoniego 55, 97-200 Tomaszów Mazowiecki;</w:t>
      </w:r>
    </w:p>
    <w:p w:rsidR="00D26F13" w:rsidRDefault="00D26F13" w:rsidP="00D26F13">
      <w:pPr>
        <w:pStyle w:val="Akapitzlist"/>
        <w:keepNext/>
        <w:numPr>
          <w:ilvl w:val="0"/>
          <w:numId w:val="16"/>
        </w:numPr>
        <w:jc w:val="both"/>
        <w:outlineLvl w:val="0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Polska Izba Gospodarcza Ośrodków Szkolenia Kierowców, ul. Piotra Skargi 1, 05-820 Piastów;</w:t>
      </w:r>
    </w:p>
    <w:p w:rsidR="00D26F13" w:rsidRDefault="00D26F13" w:rsidP="00D26F13">
      <w:pPr>
        <w:pStyle w:val="Akapitzlist"/>
        <w:keepNext/>
        <w:numPr>
          <w:ilvl w:val="0"/>
          <w:numId w:val="16"/>
        </w:numPr>
        <w:jc w:val="both"/>
        <w:outlineLvl w:val="0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Ogólnopolska Izba Gospodarcza Ośrodków Szkolenia Kierowców, ul. Bohateró</w:t>
      </w:r>
      <w:r w:rsidR="008609CC">
        <w:rPr>
          <w:rFonts w:eastAsia="Calibri" w:cs="Times New Roman"/>
          <w:szCs w:val="24"/>
          <w:lang w:eastAsia="pl-PL"/>
        </w:rPr>
        <w:t>w Warszawy 2/5, 75-211 Koszalin.</w:t>
      </w: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szCs w:val="24"/>
          <w:lang w:eastAsia="pl-PL"/>
        </w:rPr>
      </w:pP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b/>
          <w:szCs w:val="24"/>
          <w:lang w:eastAsia="pl-PL"/>
        </w:rPr>
      </w:pPr>
      <w:r>
        <w:rPr>
          <w:rFonts w:eastAsia="Calibri" w:cs="Times New Roman"/>
          <w:b/>
          <w:szCs w:val="24"/>
          <w:lang w:eastAsia="pl-PL"/>
        </w:rPr>
        <w:t>3. Wpływ regulacji na sektor finansów publicznych, w tym budżet państwa i budżet</w:t>
      </w:r>
      <w:r w:rsidR="00790957">
        <w:rPr>
          <w:rFonts w:eastAsia="Calibri" w:cs="Times New Roman"/>
          <w:b/>
          <w:szCs w:val="24"/>
          <w:lang w:eastAsia="pl-PL"/>
        </w:rPr>
        <w:t>y jednostek</w:t>
      </w:r>
      <w:r>
        <w:rPr>
          <w:rFonts w:eastAsia="Calibri" w:cs="Times New Roman"/>
          <w:b/>
          <w:szCs w:val="24"/>
          <w:lang w:eastAsia="pl-PL"/>
        </w:rPr>
        <w:t xml:space="preserve"> samorządu terytorialnego</w:t>
      </w: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szCs w:val="24"/>
          <w:lang w:eastAsia="pl-PL"/>
        </w:rPr>
      </w:pP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Proponowana regulacja nie wpływa na </w:t>
      </w:r>
      <w:r>
        <w:rPr>
          <w:rFonts w:eastAsia="Calibri" w:cs="Times New Roman"/>
          <w:szCs w:val="24"/>
          <w:lang w:eastAsia="pl-PL"/>
        </w:rPr>
        <w:t>sektor finansów publicznych, w tym budżet państwa i budżet</w:t>
      </w:r>
      <w:r w:rsidR="00790957">
        <w:rPr>
          <w:rFonts w:eastAsia="Calibri" w:cs="Times New Roman"/>
          <w:szCs w:val="24"/>
          <w:lang w:eastAsia="pl-PL"/>
        </w:rPr>
        <w:t>y jednostek</w:t>
      </w:r>
      <w:r>
        <w:rPr>
          <w:rFonts w:eastAsia="Calibri" w:cs="Times New Roman"/>
          <w:szCs w:val="24"/>
          <w:lang w:eastAsia="pl-PL"/>
        </w:rPr>
        <w:t xml:space="preserve"> samorządu terytorialnego</w:t>
      </w:r>
      <w:r>
        <w:rPr>
          <w:rFonts w:eastAsia="Times New Roman" w:cs="Times New Roman"/>
          <w:szCs w:val="24"/>
          <w:lang w:eastAsia="pl-PL"/>
        </w:rPr>
        <w:t xml:space="preserve">. 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b/>
          <w:szCs w:val="24"/>
          <w:lang w:eastAsia="pl-PL"/>
        </w:rPr>
      </w:pPr>
      <w:r>
        <w:rPr>
          <w:rFonts w:eastAsia="Calibri" w:cs="Times New Roman"/>
          <w:b/>
          <w:szCs w:val="24"/>
          <w:lang w:eastAsia="pl-PL"/>
        </w:rPr>
        <w:t>4. Wpływ regulacji na rynek pracy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Proponowana regulacja nie wpływa na rynek pracy. 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b/>
          <w:szCs w:val="24"/>
          <w:lang w:eastAsia="pl-PL"/>
        </w:rPr>
      </w:pPr>
      <w:r>
        <w:rPr>
          <w:rFonts w:eastAsia="Calibri" w:cs="Times New Roman"/>
          <w:b/>
          <w:szCs w:val="24"/>
          <w:lang w:eastAsia="pl-PL"/>
        </w:rPr>
        <w:t xml:space="preserve">5. Wpływ regulacji na konkurencyjność gospodarki i przedsiębiorczość, w tym na funkcjonowanie przedsiębiorstw 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Proponowana regulacja nie będzie miała wpływu </w:t>
      </w:r>
      <w:r w:rsidRPr="00790957">
        <w:rPr>
          <w:rFonts w:eastAsia="Times New Roman" w:cs="Times New Roman"/>
          <w:szCs w:val="24"/>
          <w:lang w:eastAsia="pl-PL"/>
        </w:rPr>
        <w:t xml:space="preserve">na konkurencyjność </w:t>
      </w:r>
      <w:r w:rsidR="00790957" w:rsidRPr="00790957">
        <w:rPr>
          <w:rFonts w:eastAsia="Calibri" w:cs="Times New Roman"/>
          <w:szCs w:val="24"/>
          <w:lang w:eastAsia="pl-PL"/>
        </w:rPr>
        <w:t>gospodarki i przedsiębiorczość, w tym na funkcjonowanie przedsiębiorstw</w:t>
      </w:r>
      <w:r>
        <w:rPr>
          <w:rFonts w:eastAsia="Times New Roman" w:cs="Times New Roman"/>
          <w:szCs w:val="24"/>
          <w:lang w:eastAsia="pl-PL"/>
        </w:rPr>
        <w:t xml:space="preserve">. 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</w:p>
    <w:p w:rsidR="00D26F13" w:rsidRDefault="00D26F13" w:rsidP="00D26F13">
      <w:pPr>
        <w:keepNext/>
        <w:jc w:val="both"/>
        <w:outlineLvl w:val="0"/>
        <w:rPr>
          <w:rFonts w:eastAsia="Calibri" w:cs="Times New Roman"/>
          <w:b/>
          <w:szCs w:val="24"/>
          <w:lang w:eastAsia="pl-PL"/>
        </w:rPr>
      </w:pPr>
      <w:r>
        <w:rPr>
          <w:rFonts w:eastAsia="Calibri" w:cs="Times New Roman"/>
          <w:b/>
          <w:szCs w:val="24"/>
          <w:lang w:eastAsia="pl-PL"/>
        </w:rPr>
        <w:t>6. Wpływ regulacji na sytuację i rozwój regionalny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Proponowana regulacja nie będzie miała wpływu na sytuację i rozwój regionów. </w:t>
      </w:r>
    </w:p>
    <w:p w:rsidR="00D26F13" w:rsidRDefault="00D26F13" w:rsidP="00D26F13">
      <w:pPr>
        <w:jc w:val="both"/>
        <w:rPr>
          <w:rFonts w:eastAsia="Times New Roman" w:cs="Times New Roman"/>
          <w:szCs w:val="24"/>
          <w:lang w:eastAsia="pl-PL"/>
        </w:rPr>
      </w:pPr>
    </w:p>
    <w:p w:rsidR="00D26F13" w:rsidRDefault="00D26F13" w:rsidP="00D26F13">
      <w:pPr>
        <w:pStyle w:val="Akapitzlist"/>
        <w:ind w:left="1134" w:hanging="414"/>
        <w:rPr>
          <w:rFonts w:cs="Times New Roman"/>
          <w:szCs w:val="24"/>
        </w:rPr>
      </w:pPr>
    </w:p>
    <w:p w:rsidR="00AF2539" w:rsidRPr="005C5A51" w:rsidRDefault="00AF2539" w:rsidP="00D26F13">
      <w:pPr>
        <w:ind w:firstLine="708"/>
        <w:jc w:val="both"/>
        <w:rPr>
          <w:rFonts w:cs="Times New Roman"/>
          <w:szCs w:val="24"/>
        </w:rPr>
      </w:pPr>
    </w:p>
    <w:sectPr w:rsidR="00AF2539" w:rsidRPr="005C5A51" w:rsidSect="0027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AA" w:rsidRDefault="00E244AA" w:rsidP="00A65912">
      <w:r>
        <w:separator/>
      </w:r>
    </w:p>
  </w:endnote>
  <w:endnote w:type="continuationSeparator" w:id="0">
    <w:p w:rsidR="00E244AA" w:rsidRDefault="00E244AA" w:rsidP="00A6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AA" w:rsidRDefault="00E244AA" w:rsidP="00A65912">
      <w:r>
        <w:separator/>
      </w:r>
    </w:p>
  </w:footnote>
  <w:footnote w:type="continuationSeparator" w:id="0">
    <w:p w:rsidR="00E244AA" w:rsidRDefault="00E244AA" w:rsidP="00A65912">
      <w:r>
        <w:continuationSeparator/>
      </w:r>
    </w:p>
  </w:footnote>
  <w:footnote w:id="1">
    <w:p w:rsidR="00A65912" w:rsidRDefault="00A65912" w:rsidP="00B55721">
      <w:pPr>
        <w:pStyle w:val="Tekstprzypisudolnego"/>
        <w:jc w:val="both"/>
      </w:pPr>
      <w:r>
        <w:rPr>
          <w:rStyle w:val="Odwoanieprzypisudolnego"/>
        </w:rPr>
        <w:footnoteRef/>
      </w:r>
      <w:r w:rsidR="0062466D">
        <w:rPr>
          <w:vertAlign w:val="superscript"/>
        </w:rPr>
        <w:t>)</w:t>
      </w:r>
      <w:r>
        <w:t xml:space="preserve"> Minister Transportu, Budownictwa i Gospodarki Morskiej kieruje działem administracji rządowej - transport, na podstawie § 1 ust. 2 pkt 3 rozporządzenia Prezesa Rady Ministrów z dnia 18 listopada 2011 r. w sprawie szczegółowego zakresu działania Ministra Transportu, Budownictwa i Gospodarki Morskiej (Dz. U. Nr 248, poz. 1494).</w:t>
      </w:r>
    </w:p>
  </w:footnote>
  <w:footnote w:id="2">
    <w:p w:rsidR="00471E52" w:rsidRDefault="00471E52" w:rsidP="00B55721">
      <w:pPr>
        <w:pStyle w:val="Tekstprzypisudolnego"/>
        <w:jc w:val="both"/>
      </w:pPr>
      <w:r>
        <w:rPr>
          <w:rStyle w:val="Odwoanieprzypisudolnego"/>
        </w:rPr>
        <w:footnoteRef/>
      </w:r>
      <w:r w:rsidR="0062466D">
        <w:rPr>
          <w:vertAlign w:val="superscript"/>
        </w:rPr>
        <w:t>)</w:t>
      </w:r>
      <w:r>
        <w:t xml:space="preserve"> </w:t>
      </w:r>
      <w:r w:rsidRPr="00C84E94">
        <w:t>Zmiany wymienionej ustawy zostały ogłoszone w Dz. U. Nr 92, poz. 530, Nr 106, poz. 622, Nr 205, poz. 1210, Nr 227, poz. 1367 i Nr 244, poz. 1454</w:t>
      </w:r>
      <w:r w:rsidR="0062466D">
        <w:t>,</w:t>
      </w:r>
      <w:r w:rsidRPr="00C84E94">
        <w:t xml:space="preserve"> z 2012 r. poz. 113</w:t>
      </w:r>
      <w:r w:rsidR="0062466D">
        <w:t xml:space="preserve"> </w:t>
      </w:r>
      <w:r w:rsidR="009A6E6D">
        <w:t>o</w:t>
      </w:r>
      <w:r w:rsidR="0062466D">
        <w:t>raz z 2013 r. poz. 82.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A63"/>
    <w:multiLevelType w:val="hybridMultilevel"/>
    <w:tmpl w:val="B9403C14"/>
    <w:lvl w:ilvl="0" w:tplc="634E1AE8">
      <w:start w:val="1"/>
      <w:numFmt w:val="decimal"/>
      <w:lvlText w:val="%1)"/>
      <w:lvlJc w:val="left"/>
      <w:pPr>
        <w:ind w:left="-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06481B0B"/>
    <w:multiLevelType w:val="hybridMultilevel"/>
    <w:tmpl w:val="492C7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3CAC"/>
    <w:multiLevelType w:val="hybridMultilevel"/>
    <w:tmpl w:val="C6901AEA"/>
    <w:lvl w:ilvl="0" w:tplc="ED22F20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0605F09"/>
    <w:multiLevelType w:val="hybridMultilevel"/>
    <w:tmpl w:val="FB14E498"/>
    <w:lvl w:ilvl="0" w:tplc="8CE49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3259E"/>
    <w:multiLevelType w:val="hybridMultilevel"/>
    <w:tmpl w:val="7B6C585A"/>
    <w:lvl w:ilvl="0" w:tplc="9E9A2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C4047"/>
    <w:multiLevelType w:val="hybridMultilevel"/>
    <w:tmpl w:val="19D2FF00"/>
    <w:lvl w:ilvl="0" w:tplc="407C59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D22F20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D34980"/>
    <w:multiLevelType w:val="hybridMultilevel"/>
    <w:tmpl w:val="BC885080"/>
    <w:lvl w:ilvl="0" w:tplc="0BECAE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62B30"/>
    <w:multiLevelType w:val="hybridMultilevel"/>
    <w:tmpl w:val="492C7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C15EF"/>
    <w:multiLevelType w:val="hybridMultilevel"/>
    <w:tmpl w:val="BC5CA810"/>
    <w:lvl w:ilvl="0" w:tplc="205CAAF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B5621"/>
    <w:multiLevelType w:val="hybridMultilevel"/>
    <w:tmpl w:val="19D2FF00"/>
    <w:lvl w:ilvl="0" w:tplc="407C59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D22F20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674120"/>
    <w:multiLevelType w:val="hybridMultilevel"/>
    <w:tmpl w:val="E25680E8"/>
    <w:lvl w:ilvl="0" w:tplc="70085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90E73"/>
    <w:multiLevelType w:val="hybridMultilevel"/>
    <w:tmpl w:val="DC9011CC"/>
    <w:lvl w:ilvl="0" w:tplc="359AA3CC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A01D3"/>
    <w:multiLevelType w:val="hybridMultilevel"/>
    <w:tmpl w:val="43629AE6"/>
    <w:lvl w:ilvl="0" w:tplc="ED22F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27D8E"/>
    <w:multiLevelType w:val="hybridMultilevel"/>
    <w:tmpl w:val="D73C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240BD"/>
    <w:multiLevelType w:val="hybridMultilevel"/>
    <w:tmpl w:val="2660A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E15CA"/>
    <w:multiLevelType w:val="hybridMultilevel"/>
    <w:tmpl w:val="18C2126A"/>
    <w:lvl w:ilvl="0" w:tplc="1AB4ABF2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16"/>
    <w:rsid w:val="0002212F"/>
    <w:rsid w:val="0002384B"/>
    <w:rsid w:val="00040BA4"/>
    <w:rsid w:val="000508BD"/>
    <w:rsid w:val="000E2479"/>
    <w:rsid w:val="00121238"/>
    <w:rsid w:val="001362A2"/>
    <w:rsid w:val="0017095B"/>
    <w:rsid w:val="00181D47"/>
    <w:rsid w:val="001F0A02"/>
    <w:rsid w:val="00215294"/>
    <w:rsid w:val="00215C02"/>
    <w:rsid w:val="0027356E"/>
    <w:rsid w:val="002E0C74"/>
    <w:rsid w:val="00304F6C"/>
    <w:rsid w:val="00306896"/>
    <w:rsid w:val="0031528A"/>
    <w:rsid w:val="003176FA"/>
    <w:rsid w:val="00342B41"/>
    <w:rsid w:val="003A24F6"/>
    <w:rsid w:val="003D647C"/>
    <w:rsid w:val="003D7BDD"/>
    <w:rsid w:val="0041189F"/>
    <w:rsid w:val="00423678"/>
    <w:rsid w:val="00461A89"/>
    <w:rsid w:val="00471E52"/>
    <w:rsid w:val="004739C2"/>
    <w:rsid w:val="004D1B4B"/>
    <w:rsid w:val="004D3B69"/>
    <w:rsid w:val="004F075B"/>
    <w:rsid w:val="004F7405"/>
    <w:rsid w:val="005606FD"/>
    <w:rsid w:val="005C5A51"/>
    <w:rsid w:val="005E025F"/>
    <w:rsid w:val="0062466D"/>
    <w:rsid w:val="00634EEA"/>
    <w:rsid w:val="006D3AC1"/>
    <w:rsid w:val="006F3A69"/>
    <w:rsid w:val="00751E85"/>
    <w:rsid w:val="0075312B"/>
    <w:rsid w:val="00790957"/>
    <w:rsid w:val="00793B16"/>
    <w:rsid w:val="007B12F8"/>
    <w:rsid w:val="00813713"/>
    <w:rsid w:val="00844720"/>
    <w:rsid w:val="008609CC"/>
    <w:rsid w:val="008629AB"/>
    <w:rsid w:val="008B09DB"/>
    <w:rsid w:val="008D27AB"/>
    <w:rsid w:val="00900619"/>
    <w:rsid w:val="009048D5"/>
    <w:rsid w:val="00921A9C"/>
    <w:rsid w:val="0094521B"/>
    <w:rsid w:val="009A4F88"/>
    <w:rsid w:val="009A6E6D"/>
    <w:rsid w:val="009C1E68"/>
    <w:rsid w:val="009E3E50"/>
    <w:rsid w:val="00A60062"/>
    <w:rsid w:val="00A65912"/>
    <w:rsid w:val="00A6796D"/>
    <w:rsid w:val="00AA0742"/>
    <w:rsid w:val="00AF2539"/>
    <w:rsid w:val="00B06D65"/>
    <w:rsid w:val="00B13969"/>
    <w:rsid w:val="00B55721"/>
    <w:rsid w:val="00B859C2"/>
    <w:rsid w:val="00BA268D"/>
    <w:rsid w:val="00BD7A4A"/>
    <w:rsid w:val="00BD7C99"/>
    <w:rsid w:val="00C132AF"/>
    <w:rsid w:val="00C20FBC"/>
    <w:rsid w:val="00C56BDF"/>
    <w:rsid w:val="00C609B6"/>
    <w:rsid w:val="00CB7B7C"/>
    <w:rsid w:val="00CE2D3A"/>
    <w:rsid w:val="00D26F13"/>
    <w:rsid w:val="00D43D38"/>
    <w:rsid w:val="00D60581"/>
    <w:rsid w:val="00D73F36"/>
    <w:rsid w:val="00DA0624"/>
    <w:rsid w:val="00DB3138"/>
    <w:rsid w:val="00E01DB9"/>
    <w:rsid w:val="00E244AA"/>
    <w:rsid w:val="00E2592E"/>
    <w:rsid w:val="00E50361"/>
    <w:rsid w:val="00E549A1"/>
    <w:rsid w:val="00E6762B"/>
    <w:rsid w:val="00E83107"/>
    <w:rsid w:val="00E92D2B"/>
    <w:rsid w:val="00EF18C0"/>
    <w:rsid w:val="00EF440F"/>
    <w:rsid w:val="00FC0C34"/>
    <w:rsid w:val="00FD0F79"/>
    <w:rsid w:val="00FD18F9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9B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B16"/>
    <w:pPr>
      <w:ind w:left="720"/>
      <w:contextualSpacing/>
    </w:pPr>
  </w:style>
  <w:style w:type="character" w:customStyle="1" w:styleId="tabulatory">
    <w:name w:val="tabulatory"/>
    <w:basedOn w:val="Domylnaczcionkaakapitu"/>
    <w:rsid w:val="00E92D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912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9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912"/>
    <w:rPr>
      <w:vertAlign w:val="superscript"/>
    </w:rPr>
  </w:style>
  <w:style w:type="paragraph" w:customStyle="1" w:styleId="Default">
    <w:name w:val="Default"/>
    <w:rsid w:val="002E0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9B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B16"/>
    <w:pPr>
      <w:ind w:left="720"/>
      <w:contextualSpacing/>
    </w:pPr>
  </w:style>
  <w:style w:type="character" w:customStyle="1" w:styleId="tabulatory">
    <w:name w:val="tabulatory"/>
    <w:basedOn w:val="Domylnaczcionkaakapitu"/>
    <w:rsid w:val="00E92D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912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9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912"/>
    <w:rPr>
      <w:vertAlign w:val="superscript"/>
    </w:rPr>
  </w:style>
  <w:style w:type="paragraph" w:customStyle="1" w:styleId="Default">
    <w:name w:val="Default"/>
    <w:rsid w:val="002E0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7181D-134A-404F-B3E1-B400D7B5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tpietka</dc:creator>
  <cp:lastModifiedBy>Andrzej Gniadkowski</cp:lastModifiedBy>
  <cp:revision>2</cp:revision>
  <cp:lastPrinted>2013-02-07T08:15:00Z</cp:lastPrinted>
  <dcterms:created xsi:type="dcterms:W3CDTF">2013-02-27T14:13:00Z</dcterms:created>
  <dcterms:modified xsi:type="dcterms:W3CDTF">2013-02-27T14:13:00Z</dcterms:modified>
</cp:coreProperties>
</file>