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12" w:rsidRDefault="00A65912" w:rsidP="00A65912">
      <w:pPr>
        <w:keepNext/>
        <w:spacing w:before="240"/>
        <w:jc w:val="right"/>
        <w:outlineLvl w:val="1"/>
        <w:rPr>
          <w:rFonts w:eastAsia="Times New Roman" w:cs="Times New Roman"/>
          <w:i/>
          <w:szCs w:val="20"/>
          <w:lang w:eastAsia="pl-PL"/>
        </w:rPr>
      </w:pPr>
      <w:bookmarkStart w:id="0" w:name="_GoBack"/>
      <w:bookmarkEnd w:id="0"/>
      <w:r>
        <w:rPr>
          <w:rFonts w:eastAsia="Times New Roman" w:cs="Times New Roman"/>
          <w:i/>
          <w:szCs w:val="20"/>
          <w:lang w:eastAsia="pl-PL"/>
        </w:rPr>
        <w:t>Projekt z dnia 12.02.2013r.</w:t>
      </w:r>
    </w:p>
    <w:p w:rsidR="00A65912" w:rsidRDefault="00A65912" w:rsidP="00A65912">
      <w:pPr>
        <w:keepNext/>
        <w:spacing w:before="240"/>
        <w:jc w:val="center"/>
        <w:outlineLvl w:val="1"/>
        <w:rPr>
          <w:rFonts w:eastAsia="Times New Roman" w:cs="Times New Roman"/>
          <w:b/>
          <w:szCs w:val="20"/>
          <w:lang w:eastAsia="pl-PL"/>
        </w:rPr>
      </w:pPr>
      <w:r>
        <w:rPr>
          <w:rFonts w:eastAsia="Times New Roman" w:cs="Times New Roman"/>
          <w:b/>
          <w:szCs w:val="20"/>
          <w:lang w:eastAsia="pl-PL"/>
        </w:rPr>
        <w:t>ROZPORZĄDZENIE</w:t>
      </w:r>
    </w:p>
    <w:p w:rsidR="00A65912" w:rsidRPr="00CA0A3E" w:rsidRDefault="00A65912" w:rsidP="00A65912">
      <w:pPr>
        <w:jc w:val="center"/>
        <w:rPr>
          <w:rFonts w:eastAsia="Times New Roman" w:cs="Times New Roman"/>
          <w:b/>
          <w:szCs w:val="20"/>
          <w:vertAlign w:val="superscript"/>
          <w:lang w:eastAsia="pl-PL"/>
        </w:rPr>
      </w:pPr>
      <w:r>
        <w:rPr>
          <w:rFonts w:eastAsia="Times New Roman" w:cs="Times New Roman"/>
          <w:b/>
          <w:szCs w:val="20"/>
          <w:lang w:eastAsia="pl-PL"/>
        </w:rPr>
        <w:t>MINISTRA TRANSPORTU, BUDOWNICTWA I GOSPODARKI MORSKIEJ</w:t>
      </w:r>
      <w:r>
        <w:rPr>
          <w:rFonts w:eastAsia="Times New Roman" w:cs="Times New Roman"/>
          <w:b/>
          <w:szCs w:val="20"/>
          <w:vertAlign w:val="superscript"/>
          <w:lang w:eastAsia="pl-PL"/>
        </w:rPr>
        <w:footnoteReference w:id="1"/>
      </w:r>
      <w:r w:rsidR="00CA0A3E">
        <w:rPr>
          <w:rFonts w:eastAsia="Times New Roman" w:cs="Times New Roman"/>
          <w:b/>
          <w:szCs w:val="20"/>
          <w:vertAlign w:val="superscript"/>
          <w:lang w:eastAsia="pl-PL"/>
        </w:rPr>
        <w:t>)</w:t>
      </w:r>
    </w:p>
    <w:p w:rsidR="00A65912" w:rsidRDefault="00A65912" w:rsidP="00A65912">
      <w:pPr>
        <w:jc w:val="center"/>
        <w:rPr>
          <w:rFonts w:eastAsia="Times New Roman" w:cs="Times New Roman"/>
          <w:b/>
          <w:szCs w:val="20"/>
          <w:vertAlign w:val="superscript"/>
          <w:lang w:eastAsia="pl-PL"/>
        </w:rPr>
      </w:pPr>
    </w:p>
    <w:p w:rsidR="00A65912" w:rsidRDefault="00A65912" w:rsidP="00A65912">
      <w:pPr>
        <w:jc w:val="center"/>
        <w:rPr>
          <w:rFonts w:eastAsia="Times New Roman" w:cs="Times New Roman"/>
          <w:szCs w:val="20"/>
          <w:lang w:eastAsia="pl-PL"/>
        </w:rPr>
      </w:pPr>
      <w:r>
        <w:rPr>
          <w:rFonts w:eastAsia="Times New Roman" w:cs="Times New Roman"/>
          <w:szCs w:val="20"/>
          <w:lang w:eastAsia="pl-PL"/>
        </w:rPr>
        <w:t>z dnia ............................. 201</w:t>
      </w:r>
      <w:r w:rsidR="00CA0A3E">
        <w:rPr>
          <w:rFonts w:eastAsia="Times New Roman" w:cs="Times New Roman"/>
          <w:szCs w:val="20"/>
          <w:lang w:eastAsia="pl-PL"/>
        </w:rPr>
        <w:t>3</w:t>
      </w:r>
      <w:r>
        <w:rPr>
          <w:rFonts w:eastAsia="Times New Roman" w:cs="Times New Roman"/>
          <w:szCs w:val="20"/>
          <w:lang w:eastAsia="pl-PL"/>
        </w:rPr>
        <w:t xml:space="preserve"> r.</w:t>
      </w:r>
    </w:p>
    <w:p w:rsidR="00A65912" w:rsidRDefault="00A65912" w:rsidP="00A65912">
      <w:pPr>
        <w:jc w:val="center"/>
        <w:rPr>
          <w:rFonts w:ascii="Arial" w:eastAsia="Times New Roman" w:hAnsi="Arial" w:cs="Times New Roman"/>
          <w:b/>
          <w:bCs/>
          <w:szCs w:val="20"/>
          <w:lang w:eastAsia="pl-PL"/>
        </w:rPr>
      </w:pPr>
    </w:p>
    <w:p w:rsidR="00A65912" w:rsidRPr="00A65912" w:rsidRDefault="00A65912" w:rsidP="00A65912">
      <w:pPr>
        <w:jc w:val="center"/>
        <w:rPr>
          <w:b/>
        </w:rPr>
      </w:pPr>
      <w:r w:rsidRPr="00A65912">
        <w:rPr>
          <w:b/>
        </w:rPr>
        <w:t>zmieniające rozporządzenie w</w:t>
      </w:r>
      <w:r>
        <w:rPr>
          <w:b/>
        </w:rPr>
        <w:t xml:space="preserve"> </w:t>
      </w:r>
      <w:r w:rsidRPr="00C20FBC">
        <w:rPr>
          <w:b/>
        </w:rPr>
        <w:t>sprawie egzaminowania osób ubiegających się o uprawnienia do kierowania pojazdami, szkolenia, egzaminowania i uzyskiwania uprawnień przez egzaminatorów oraz wzorów dokumentów stosowanych w tych sprawach</w:t>
      </w:r>
    </w:p>
    <w:p w:rsidR="00A65912" w:rsidRDefault="00A65912" w:rsidP="00A65912">
      <w:pPr>
        <w:jc w:val="center"/>
        <w:rPr>
          <w:rFonts w:ascii="Arial" w:eastAsia="Times New Roman" w:hAnsi="Arial" w:cs="Times New Roman"/>
          <w:b/>
          <w:bCs/>
          <w:szCs w:val="20"/>
          <w:lang w:eastAsia="pl-PL"/>
        </w:rPr>
      </w:pPr>
    </w:p>
    <w:p w:rsidR="00471E52" w:rsidRPr="006C7337" w:rsidRDefault="00471E52" w:rsidP="00471E52">
      <w:pPr>
        <w:ind w:left="-142"/>
        <w:jc w:val="both"/>
        <w:rPr>
          <w:rFonts w:eastAsia="Times New Roman" w:cs="Times New Roman"/>
          <w:szCs w:val="24"/>
          <w:lang w:eastAsia="pl-PL"/>
        </w:rPr>
      </w:pPr>
      <w:r w:rsidRPr="006C7337">
        <w:rPr>
          <w:rFonts w:cs="Times New Roman"/>
          <w:color w:val="000000"/>
          <w:szCs w:val="24"/>
        </w:rPr>
        <w:t xml:space="preserve">Na podstawie art. 66 ust. 1 pkt 1–5, 7 i 8 ustawy z dnia 5 stycznia 2011 r. o kierujących pojazdami </w:t>
      </w:r>
      <w:r w:rsidRPr="006C7337">
        <w:rPr>
          <w:rFonts w:eastAsia="Times New Roman" w:cs="Times New Roman"/>
          <w:szCs w:val="24"/>
          <w:lang w:eastAsia="pl-PL"/>
        </w:rPr>
        <w:t xml:space="preserve">(Dz. U. </w:t>
      </w:r>
      <w:r w:rsidR="00CA0A3E">
        <w:rPr>
          <w:rFonts w:eastAsia="Times New Roman" w:cs="Times New Roman"/>
          <w:szCs w:val="24"/>
          <w:lang w:eastAsia="pl-PL"/>
        </w:rPr>
        <w:t>N</w:t>
      </w:r>
      <w:r w:rsidRPr="006C7337">
        <w:rPr>
          <w:rFonts w:eastAsia="Times New Roman" w:cs="Times New Roman"/>
          <w:szCs w:val="24"/>
          <w:lang w:eastAsia="pl-PL"/>
        </w:rPr>
        <w:t>r 30</w:t>
      </w:r>
      <w:r w:rsidR="00CA0A3E">
        <w:rPr>
          <w:rFonts w:eastAsia="Times New Roman" w:cs="Times New Roman"/>
          <w:szCs w:val="24"/>
          <w:lang w:eastAsia="pl-PL"/>
        </w:rPr>
        <w:t>,</w:t>
      </w:r>
      <w:r w:rsidRPr="006C7337">
        <w:rPr>
          <w:rFonts w:eastAsia="Times New Roman" w:cs="Times New Roman"/>
          <w:szCs w:val="24"/>
          <w:lang w:eastAsia="pl-PL"/>
        </w:rPr>
        <w:t xml:space="preserve"> poz. 151</w:t>
      </w:r>
      <w:r w:rsidR="00CA0A3E">
        <w:rPr>
          <w:rFonts w:eastAsia="Times New Roman" w:cs="Times New Roman"/>
          <w:szCs w:val="24"/>
          <w:lang w:eastAsia="pl-PL"/>
        </w:rPr>
        <w:t xml:space="preserve">, z </w:t>
      </w:r>
      <w:proofErr w:type="spellStart"/>
      <w:r w:rsidR="00CA0A3E">
        <w:rPr>
          <w:rFonts w:eastAsia="Times New Roman" w:cs="Times New Roman"/>
          <w:szCs w:val="24"/>
          <w:lang w:eastAsia="pl-PL"/>
        </w:rPr>
        <w:t>późn</w:t>
      </w:r>
      <w:proofErr w:type="spellEnd"/>
      <w:r w:rsidR="00CA0A3E">
        <w:rPr>
          <w:rFonts w:eastAsia="Times New Roman" w:cs="Times New Roman"/>
          <w:szCs w:val="24"/>
          <w:lang w:eastAsia="pl-PL"/>
        </w:rPr>
        <w:t>. zm.</w:t>
      </w:r>
      <w:r w:rsidRPr="006C7337">
        <w:rPr>
          <w:rFonts w:eastAsia="Times New Roman" w:cs="Times New Roman"/>
          <w:szCs w:val="24"/>
          <w:vertAlign w:val="superscript"/>
          <w:lang w:eastAsia="pl-PL"/>
        </w:rPr>
        <w:footnoteReference w:id="2"/>
      </w:r>
      <w:r w:rsidR="00CA0A3E">
        <w:rPr>
          <w:rFonts w:eastAsia="Times New Roman" w:cs="Times New Roman"/>
          <w:szCs w:val="24"/>
          <w:vertAlign w:val="superscript"/>
          <w:lang w:eastAsia="pl-PL"/>
        </w:rPr>
        <w:t>)</w:t>
      </w:r>
      <w:r w:rsidRPr="006C7337">
        <w:rPr>
          <w:rFonts w:eastAsia="Times New Roman" w:cs="Times New Roman"/>
          <w:szCs w:val="24"/>
          <w:lang w:eastAsia="pl-PL"/>
        </w:rPr>
        <w:t>)</w:t>
      </w:r>
      <w:r w:rsidRPr="006C7337">
        <w:rPr>
          <w:rFonts w:eastAsia="Times New Roman" w:cs="Times New Roman"/>
          <w:b/>
          <w:szCs w:val="24"/>
          <w:lang w:eastAsia="pl-PL"/>
        </w:rPr>
        <w:t xml:space="preserve"> </w:t>
      </w:r>
      <w:r w:rsidRPr="006C7337">
        <w:rPr>
          <w:rFonts w:eastAsia="Times New Roman" w:cs="Times New Roman"/>
          <w:szCs w:val="24"/>
          <w:lang w:eastAsia="pl-PL"/>
        </w:rPr>
        <w:t>zarządza się, co następuje:</w:t>
      </w:r>
    </w:p>
    <w:p w:rsidR="00A65912" w:rsidRDefault="00A65912" w:rsidP="005C5A51">
      <w:pPr>
        <w:ind w:firstLine="360"/>
        <w:jc w:val="both"/>
        <w:rPr>
          <w:b/>
        </w:rPr>
      </w:pPr>
    </w:p>
    <w:p w:rsidR="00215C02" w:rsidRPr="00471E52" w:rsidRDefault="00391247" w:rsidP="00391247">
      <w:pPr>
        <w:pStyle w:val="Akapitzlist"/>
        <w:numPr>
          <w:ilvl w:val="0"/>
          <w:numId w:val="14"/>
        </w:numPr>
        <w:ind w:left="426"/>
        <w:jc w:val="both"/>
      </w:pPr>
      <w:r>
        <w:t xml:space="preserve"> </w:t>
      </w:r>
      <w:r w:rsidR="00215C02" w:rsidRPr="00471E52">
        <w:t xml:space="preserve">W rozporządzeniu Ministra Transportu, Budownictwa i Gospodarki Morskiej z dnia </w:t>
      </w:r>
      <w:r w:rsidR="005C5A51" w:rsidRPr="00471E52">
        <w:t xml:space="preserve">13 lipca 2012 r. w sprawie egzaminowania osób ubiegających się o uprawnienia do kierowania pojazdami, szkolenia, egzaminowania i uzyskiwania uprawnień przez egzaminatorów oraz wzorów dokumentów stosowanych w tych sprawach </w:t>
      </w:r>
      <w:r w:rsidR="00843E57">
        <w:rPr>
          <w:rFonts w:cs="Times New Roman"/>
          <w:szCs w:val="24"/>
        </w:rPr>
        <w:t xml:space="preserve">(Dz. U. poz. 995) </w:t>
      </w:r>
      <w:r w:rsidR="005C5A51" w:rsidRPr="00471E52">
        <w:t>wprowadza się następujące zmiany:</w:t>
      </w:r>
    </w:p>
    <w:p w:rsidR="005C5A51" w:rsidRDefault="005C5A51" w:rsidP="005C5A51">
      <w:pPr>
        <w:pStyle w:val="Akapitzlist"/>
      </w:pPr>
    </w:p>
    <w:p w:rsidR="0027356E" w:rsidRDefault="00B13969" w:rsidP="00E92D2B">
      <w:pPr>
        <w:pStyle w:val="Akapitzlist"/>
        <w:numPr>
          <w:ilvl w:val="0"/>
          <w:numId w:val="5"/>
        </w:numPr>
      </w:pPr>
      <w:r>
        <w:t xml:space="preserve"> w</w:t>
      </w:r>
      <w:r w:rsidR="00793B16">
        <w:t xml:space="preserve"> § 11 dodaje się ust. 4</w:t>
      </w:r>
      <w:r w:rsidR="00CA0A3E">
        <w:t xml:space="preserve"> i 5</w:t>
      </w:r>
      <w:r w:rsidR="00793B16">
        <w:t xml:space="preserve"> w brzmieniu</w:t>
      </w:r>
      <w:r w:rsidR="00CA0A3E">
        <w:t>:</w:t>
      </w:r>
    </w:p>
    <w:p w:rsidR="00793B16" w:rsidRDefault="00793B16"/>
    <w:p w:rsidR="00793B16" w:rsidRDefault="00E6762B" w:rsidP="0002384B">
      <w:pPr>
        <w:ind w:left="709" w:hanging="283"/>
        <w:jc w:val="both"/>
      </w:pPr>
      <w:r>
        <w:t xml:space="preserve">„4. </w:t>
      </w:r>
      <w:r w:rsidR="00CA0A3E">
        <w:t>W</w:t>
      </w:r>
      <w:r w:rsidR="00793B16">
        <w:t xml:space="preserve"> przypadku </w:t>
      </w:r>
      <w:r w:rsidR="0002384B">
        <w:t xml:space="preserve">awarii systemu teleinformatycznego ośrodka egzaminowania polegającej na </w:t>
      </w:r>
      <w:r w:rsidR="00793B16">
        <w:t>braku  możliwości pobrania informacji</w:t>
      </w:r>
      <w:r w:rsidR="00CA0A3E">
        <w:t>,</w:t>
      </w:r>
      <w:r w:rsidR="00793B16">
        <w:t xml:space="preserve"> o których mowa w ust. 1 pkt 1</w:t>
      </w:r>
      <w:r w:rsidR="00CA0A3E">
        <w:t>,</w:t>
      </w:r>
      <w:r w:rsidR="00793B16">
        <w:t xml:space="preserve"> związanej z brakiem technicznych możliwości połączenia się z systemem teleinformatycznym, o którym mowa w przepisach wydanych na podstawie art. 20 ust. 1 pkt 2 ustawy, ośrodek egzaminowania:</w:t>
      </w:r>
    </w:p>
    <w:p w:rsidR="00793B16" w:rsidRPr="0002384B" w:rsidRDefault="00CA0A3E" w:rsidP="0002384B">
      <w:pPr>
        <w:pStyle w:val="Akapitzlist"/>
        <w:numPr>
          <w:ilvl w:val="0"/>
          <w:numId w:val="2"/>
        </w:numPr>
        <w:ind w:left="1440"/>
        <w:jc w:val="both"/>
        <w:rPr>
          <w:rFonts w:cs="Times New Roman"/>
          <w:color w:val="000000"/>
          <w:szCs w:val="24"/>
        </w:rPr>
      </w:pPr>
      <w:r>
        <w:rPr>
          <w:rFonts w:cs="Times New Roman"/>
          <w:color w:val="000000"/>
          <w:szCs w:val="24"/>
        </w:rPr>
        <w:t>p</w:t>
      </w:r>
      <w:r w:rsidR="00793B16" w:rsidRPr="0002384B">
        <w:rPr>
          <w:rFonts w:cs="Times New Roman"/>
          <w:color w:val="000000"/>
          <w:szCs w:val="24"/>
        </w:rPr>
        <w:t>rzyjmuje od osoby egzaminowanej informacje</w:t>
      </w:r>
      <w:r>
        <w:rPr>
          <w:rFonts w:cs="Times New Roman"/>
          <w:color w:val="000000"/>
          <w:szCs w:val="24"/>
        </w:rPr>
        <w:t>,</w:t>
      </w:r>
      <w:r w:rsidR="00793B16" w:rsidRPr="0002384B">
        <w:rPr>
          <w:rFonts w:cs="Times New Roman"/>
          <w:color w:val="000000"/>
          <w:szCs w:val="24"/>
        </w:rPr>
        <w:t xml:space="preserve"> o których mowa w</w:t>
      </w:r>
      <w:r w:rsidR="0002384B">
        <w:rPr>
          <w:rFonts w:cs="Times New Roman"/>
          <w:color w:val="000000"/>
          <w:szCs w:val="24"/>
        </w:rPr>
        <w:t xml:space="preserve"> ust. 1</w:t>
      </w:r>
      <w:r w:rsidR="00793B16" w:rsidRPr="0002384B">
        <w:rPr>
          <w:rFonts w:cs="Times New Roman"/>
          <w:color w:val="000000"/>
          <w:szCs w:val="24"/>
        </w:rPr>
        <w:t xml:space="preserve"> pkt 1</w:t>
      </w:r>
      <w:r>
        <w:rPr>
          <w:rFonts w:cs="Times New Roman"/>
          <w:color w:val="000000"/>
          <w:szCs w:val="24"/>
        </w:rPr>
        <w:t>;</w:t>
      </w:r>
    </w:p>
    <w:p w:rsidR="00E2592E" w:rsidRDefault="00CA0A3E" w:rsidP="0002384B">
      <w:pPr>
        <w:pStyle w:val="Akapitzlist"/>
        <w:numPr>
          <w:ilvl w:val="0"/>
          <w:numId w:val="2"/>
        </w:numPr>
        <w:ind w:left="1440"/>
        <w:jc w:val="both"/>
      </w:pPr>
      <w:r>
        <w:t>o</w:t>
      </w:r>
      <w:r w:rsidR="00E2592E">
        <w:t xml:space="preserve">dbiera od osoby oświadczenie </w:t>
      </w:r>
      <w:r>
        <w:t xml:space="preserve">zawierające informacje </w:t>
      </w:r>
      <w:r w:rsidR="00E2592E">
        <w:t>o:</w:t>
      </w:r>
    </w:p>
    <w:p w:rsidR="00B13969" w:rsidRDefault="00B13969" w:rsidP="0002384B">
      <w:pPr>
        <w:pStyle w:val="Akapitzlist"/>
        <w:numPr>
          <w:ilvl w:val="1"/>
          <w:numId w:val="3"/>
        </w:numPr>
        <w:ind w:left="2422"/>
      </w:pPr>
      <w:r>
        <w:t>części egzaminu państwowego jak</w:t>
      </w:r>
      <w:r w:rsidR="00CA0A3E">
        <w:t>a</w:t>
      </w:r>
      <w:r>
        <w:t xml:space="preserve"> ma być przeprowadzon</w:t>
      </w:r>
      <w:r w:rsidR="00CA0A3E">
        <w:t>a</w:t>
      </w:r>
      <w:r w:rsidR="003176FA">
        <w:t>,</w:t>
      </w:r>
    </w:p>
    <w:p w:rsidR="00B06D65" w:rsidRDefault="00B06D65" w:rsidP="0002384B">
      <w:pPr>
        <w:pStyle w:val="Akapitzlist"/>
        <w:numPr>
          <w:ilvl w:val="1"/>
          <w:numId w:val="3"/>
        </w:numPr>
        <w:ind w:left="2422"/>
      </w:pPr>
      <w:r>
        <w:t>kategorii</w:t>
      </w:r>
      <w:r w:rsidR="00CA0A3E">
        <w:t xml:space="preserve"> prawa jazdy</w:t>
      </w:r>
      <w:r>
        <w:t>, dacie rozpoczęcia i zakończenia szkolenia dla kandydatów na kierowców oraz n</w:t>
      </w:r>
      <w:r w:rsidR="00CA0A3E">
        <w:t>umer</w:t>
      </w:r>
      <w:r>
        <w:t xml:space="preserve"> ośrodka szkolenia kierowców</w:t>
      </w:r>
      <w:r w:rsidR="00CA0A3E">
        <w:t>,</w:t>
      </w:r>
      <w:r>
        <w:t xml:space="preserve"> w którym było ono prowadzone, </w:t>
      </w:r>
    </w:p>
    <w:p w:rsidR="00E2592E" w:rsidRDefault="00E2592E" w:rsidP="0002384B">
      <w:pPr>
        <w:pStyle w:val="Akapitzlist"/>
        <w:numPr>
          <w:ilvl w:val="1"/>
          <w:numId w:val="3"/>
        </w:numPr>
        <w:ind w:left="2422"/>
      </w:pPr>
      <w:r>
        <w:t xml:space="preserve">kategorii prawa jazdy </w:t>
      </w:r>
      <w:r w:rsidR="00E92D2B">
        <w:t xml:space="preserve">lub pozwolenia </w:t>
      </w:r>
      <w:r w:rsidR="00CA0A3E">
        <w:t>dla której</w:t>
      </w:r>
      <w:r>
        <w:t xml:space="preserve"> ma być przeprowadzony egzamin</w:t>
      </w:r>
      <w:r w:rsidR="0002212F">
        <w:t xml:space="preserve"> państwowy</w:t>
      </w:r>
      <w:r>
        <w:t>,</w:t>
      </w:r>
    </w:p>
    <w:p w:rsidR="00E2592E" w:rsidRDefault="00E2592E" w:rsidP="0002384B">
      <w:pPr>
        <w:pStyle w:val="Akapitzlist"/>
        <w:numPr>
          <w:ilvl w:val="1"/>
          <w:numId w:val="3"/>
        </w:numPr>
        <w:ind w:left="2422"/>
      </w:pPr>
      <w:r>
        <w:t>spełnianiu wymagań, o których mowa w art. 11 ust. 1 pkt 5 ustawy,</w:t>
      </w:r>
    </w:p>
    <w:p w:rsidR="00E2592E" w:rsidRDefault="00E2592E" w:rsidP="0002384B">
      <w:pPr>
        <w:pStyle w:val="Akapitzlist"/>
        <w:numPr>
          <w:ilvl w:val="1"/>
          <w:numId w:val="3"/>
        </w:numPr>
        <w:ind w:left="2422"/>
      </w:pPr>
      <w:r>
        <w:t>niewystępowaniu przesłanek, o których mowa w art. 12 ust. 1 pkt 1-5 ustawy,</w:t>
      </w:r>
    </w:p>
    <w:p w:rsidR="00E01DB9" w:rsidRDefault="00E01DB9" w:rsidP="0002384B">
      <w:pPr>
        <w:pStyle w:val="Akapitzlist"/>
        <w:numPr>
          <w:ilvl w:val="1"/>
          <w:numId w:val="3"/>
        </w:numPr>
        <w:ind w:left="2422"/>
      </w:pPr>
      <w:r>
        <w:t>posiadaniu zgody, o której mowa w art. 11 ust. 2 ustawy</w:t>
      </w:r>
      <w:r w:rsidR="00CA0A3E">
        <w:t>,</w:t>
      </w:r>
      <w:r>
        <w:t xml:space="preserve"> o ile jest wymagana,</w:t>
      </w:r>
    </w:p>
    <w:p w:rsidR="00E2592E" w:rsidRDefault="00E2592E" w:rsidP="0002384B">
      <w:pPr>
        <w:pStyle w:val="Akapitzlist"/>
        <w:numPr>
          <w:ilvl w:val="1"/>
          <w:numId w:val="3"/>
        </w:numPr>
        <w:ind w:left="2422"/>
      </w:pPr>
      <w:r>
        <w:t>posiadanych uprawnieniach do kierowania pojazdami,</w:t>
      </w:r>
    </w:p>
    <w:p w:rsidR="00E2592E" w:rsidRDefault="00E2592E" w:rsidP="0002384B">
      <w:pPr>
        <w:pStyle w:val="Akapitzlist"/>
        <w:numPr>
          <w:ilvl w:val="1"/>
          <w:numId w:val="3"/>
        </w:numPr>
        <w:ind w:left="2422"/>
      </w:pPr>
      <w:r>
        <w:lastRenderedPageBreak/>
        <w:t>zakresie, dacie wydania, terminie ważności oraz ograniczeniach zawartych w orzeczeniu lekarskim o braku przeciwwskazań zdrowotnych do kierowania pojazdem,</w:t>
      </w:r>
    </w:p>
    <w:p w:rsidR="00E2592E" w:rsidRDefault="00E2592E" w:rsidP="0002384B">
      <w:pPr>
        <w:pStyle w:val="Akapitzlist"/>
        <w:numPr>
          <w:ilvl w:val="1"/>
          <w:numId w:val="3"/>
        </w:numPr>
        <w:ind w:left="2422"/>
      </w:pPr>
      <w:r>
        <w:t>zakresie, dacie wydania oraz terminie ważności zawartych w orzeczeniu psychologicznym o braku przeciwwskazań psychologicznych do kierowania pojazdem</w:t>
      </w:r>
      <w:r w:rsidR="00CA0A3E">
        <w:t>,</w:t>
      </w:r>
      <w:r w:rsidR="00CB7B7C">
        <w:t xml:space="preserve"> o ile jest wymagane</w:t>
      </w:r>
      <w:r w:rsidR="00E01DB9">
        <w:t>;</w:t>
      </w:r>
    </w:p>
    <w:p w:rsidR="008629AB" w:rsidRPr="00CA0A3E" w:rsidRDefault="008629AB" w:rsidP="00CA0A3E">
      <w:pPr>
        <w:pStyle w:val="Akapitzlist"/>
        <w:numPr>
          <w:ilvl w:val="0"/>
          <w:numId w:val="2"/>
        </w:numPr>
        <w:ind w:left="1440"/>
        <w:jc w:val="both"/>
        <w:rPr>
          <w:rFonts w:cs="Times New Roman"/>
          <w:color w:val="000000"/>
          <w:szCs w:val="24"/>
        </w:rPr>
      </w:pPr>
      <w:r w:rsidRPr="00CA0A3E">
        <w:rPr>
          <w:rFonts w:cs="Times New Roman"/>
          <w:color w:val="000000"/>
          <w:szCs w:val="24"/>
        </w:rPr>
        <w:t>w celu zablokowania profilu kandydat</w:t>
      </w:r>
      <w:r w:rsidR="00F5683A">
        <w:rPr>
          <w:rFonts w:cs="Times New Roman"/>
          <w:color w:val="000000"/>
          <w:szCs w:val="24"/>
        </w:rPr>
        <w:t>a</w:t>
      </w:r>
      <w:r w:rsidRPr="00CA0A3E">
        <w:rPr>
          <w:rFonts w:cs="Times New Roman"/>
          <w:color w:val="000000"/>
          <w:szCs w:val="24"/>
        </w:rPr>
        <w:t xml:space="preserve"> na kierowcę w systemie teleinformatycznym</w:t>
      </w:r>
      <w:r w:rsidR="00C56BDF" w:rsidRPr="00CA0A3E">
        <w:rPr>
          <w:rFonts w:cs="Times New Roman"/>
          <w:color w:val="000000"/>
          <w:szCs w:val="24"/>
        </w:rPr>
        <w:t>, o którym mowa w przepisach wydanych na podstawie art. 20 ust. 1 pkt 2 ustawy</w:t>
      </w:r>
      <w:r w:rsidR="00F5683A">
        <w:rPr>
          <w:rFonts w:cs="Times New Roman"/>
          <w:color w:val="000000"/>
          <w:szCs w:val="24"/>
        </w:rPr>
        <w:t>,</w:t>
      </w:r>
      <w:r w:rsidR="00C56BDF" w:rsidRPr="00CA0A3E">
        <w:rPr>
          <w:rFonts w:cs="Times New Roman"/>
          <w:color w:val="000000"/>
          <w:szCs w:val="24"/>
        </w:rPr>
        <w:t xml:space="preserve"> informuje organ wydający prawo jazdy lub pozwolenie</w:t>
      </w:r>
      <w:r w:rsidR="00F5683A">
        <w:rPr>
          <w:rFonts w:cs="Times New Roman"/>
          <w:color w:val="000000"/>
          <w:szCs w:val="24"/>
        </w:rPr>
        <w:t>,</w:t>
      </w:r>
      <w:r w:rsidR="00C56BDF" w:rsidRPr="00CA0A3E">
        <w:rPr>
          <w:rFonts w:cs="Times New Roman"/>
          <w:color w:val="000000"/>
          <w:szCs w:val="24"/>
        </w:rPr>
        <w:t xml:space="preserve"> który wygenerował profil o przyjęciu osoby na egzamin.</w:t>
      </w:r>
    </w:p>
    <w:p w:rsidR="0002212F" w:rsidRPr="00CA0A3E" w:rsidRDefault="0002212F" w:rsidP="00CA0A3E">
      <w:pPr>
        <w:pStyle w:val="Akapitzlist"/>
        <w:numPr>
          <w:ilvl w:val="0"/>
          <w:numId w:val="2"/>
        </w:numPr>
        <w:ind w:left="1440"/>
        <w:jc w:val="both"/>
        <w:rPr>
          <w:rFonts w:cs="Times New Roman"/>
          <w:color w:val="000000"/>
          <w:szCs w:val="24"/>
        </w:rPr>
      </w:pPr>
      <w:r w:rsidRPr="00CA0A3E">
        <w:rPr>
          <w:rFonts w:cs="Times New Roman"/>
          <w:color w:val="000000"/>
          <w:szCs w:val="24"/>
        </w:rPr>
        <w:t>sprawdza prawidłowość wypełnienia dokumentów i weryfikuje je z dokumentem tożsamości,</w:t>
      </w:r>
    </w:p>
    <w:p w:rsidR="0002212F" w:rsidRPr="00CA0A3E" w:rsidRDefault="00AF2539" w:rsidP="00CA0A3E">
      <w:pPr>
        <w:pStyle w:val="Akapitzlist"/>
        <w:numPr>
          <w:ilvl w:val="0"/>
          <w:numId w:val="2"/>
        </w:numPr>
        <w:ind w:left="1440"/>
        <w:jc w:val="both"/>
        <w:rPr>
          <w:rFonts w:cs="Times New Roman"/>
          <w:color w:val="000000"/>
          <w:szCs w:val="24"/>
        </w:rPr>
      </w:pPr>
      <w:r w:rsidRPr="00CA0A3E">
        <w:rPr>
          <w:rFonts w:cs="Times New Roman"/>
          <w:color w:val="000000"/>
          <w:szCs w:val="24"/>
        </w:rPr>
        <w:t>po uzyskaniu potwierdzenia zablokowania profilu kandydata na kierowcę od organu wydającego prawo jazdy lub pozwolenie</w:t>
      </w:r>
      <w:r w:rsidR="00E64FFC">
        <w:rPr>
          <w:rFonts w:cs="Times New Roman"/>
          <w:color w:val="000000"/>
          <w:szCs w:val="24"/>
        </w:rPr>
        <w:t>,</w:t>
      </w:r>
      <w:r w:rsidRPr="00CA0A3E">
        <w:rPr>
          <w:rFonts w:cs="Times New Roman"/>
          <w:color w:val="000000"/>
          <w:szCs w:val="24"/>
        </w:rPr>
        <w:t xml:space="preserve"> który wygenerował profil</w:t>
      </w:r>
      <w:r w:rsidR="00E64FFC">
        <w:rPr>
          <w:rFonts w:cs="Times New Roman"/>
          <w:color w:val="000000"/>
          <w:szCs w:val="24"/>
        </w:rPr>
        <w:t xml:space="preserve"> kandydata na kierowcę,</w:t>
      </w:r>
      <w:r w:rsidRPr="00CA0A3E">
        <w:rPr>
          <w:rFonts w:cs="Times New Roman"/>
          <w:color w:val="000000"/>
          <w:szCs w:val="24"/>
        </w:rPr>
        <w:t xml:space="preserve"> </w:t>
      </w:r>
      <w:r w:rsidR="0002212F" w:rsidRPr="00CA0A3E">
        <w:rPr>
          <w:rFonts w:cs="Times New Roman"/>
          <w:color w:val="000000"/>
          <w:szCs w:val="24"/>
        </w:rPr>
        <w:t>rejestruje tę osobę w ewidencji osób egzaminowanych, o której mowa w § 8,</w:t>
      </w:r>
    </w:p>
    <w:p w:rsidR="00C132AF" w:rsidRPr="0002384B" w:rsidRDefault="00E6762B" w:rsidP="0002384B">
      <w:pPr>
        <w:pStyle w:val="Akapitzlist"/>
        <w:numPr>
          <w:ilvl w:val="0"/>
          <w:numId w:val="2"/>
        </w:numPr>
        <w:ind w:left="1440"/>
        <w:jc w:val="both"/>
        <w:rPr>
          <w:rFonts w:cs="Times New Roman"/>
          <w:szCs w:val="24"/>
        </w:rPr>
      </w:pPr>
      <w:r w:rsidRPr="00E6762B">
        <w:rPr>
          <w:rFonts w:cs="Times New Roman"/>
          <w:color w:val="000000"/>
          <w:szCs w:val="24"/>
        </w:rPr>
        <w:t>wyznacza termin egzaminu państwowego umożliwiający przeprowadzenie</w:t>
      </w:r>
      <w:r>
        <w:rPr>
          <w:rFonts w:cs="Times New Roman"/>
          <w:color w:val="000000"/>
          <w:szCs w:val="24"/>
        </w:rPr>
        <w:t xml:space="preserve"> </w:t>
      </w:r>
      <w:r w:rsidRPr="00E6762B">
        <w:rPr>
          <w:rFonts w:cs="Times New Roman"/>
          <w:color w:val="000000"/>
          <w:szCs w:val="24"/>
        </w:rPr>
        <w:t>egzaminu państwowego w okresie nie dłuższym niż 30 dni od dnia złożenia wymaganych dokumentów i wydaje zaświadczenie o jego wyznaczeniu, na druku, którego wzór określa załącznik nr 1 do rozporządzenia.</w:t>
      </w:r>
    </w:p>
    <w:p w:rsidR="0002384B" w:rsidRDefault="00E64FFC" w:rsidP="0002384B">
      <w:pPr>
        <w:pStyle w:val="Akapitzlist"/>
        <w:numPr>
          <w:ilvl w:val="0"/>
          <w:numId w:val="2"/>
        </w:numPr>
        <w:ind w:left="1440"/>
        <w:jc w:val="both"/>
      </w:pPr>
      <w:r>
        <w:rPr>
          <w:rFonts w:cs="Times New Roman"/>
          <w:color w:val="000000"/>
          <w:szCs w:val="24"/>
        </w:rPr>
        <w:t>i</w:t>
      </w:r>
      <w:r w:rsidR="0002384B" w:rsidRPr="0002384B">
        <w:rPr>
          <w:rFonts w:cs="Times New Roman"/>
          <w:color w:val="000000"/>
          <w:szCs w:val="24"/>
        </w:rPr>
        <w:t>nformuje</w:t>
      </w:r>
      <w:r w:rsidR="0002384B">
        <w:t xml:space="preserve"> o przyjętym trybie postępowania właściwego </w:t>
      </w:r>
      <w:r>
        <w:t>m</w:t>
      </w:r>
      <w:r w:rsidR="0002384B">
        <w:t xml:space="preserve">arszałka </w:t>
      </w:r>
      <w:r>
        <w:t>w</w:t>
      </w:r>
      <w:r w:rsidR="0002384B">
        <w:t>ojewództwa;</w:t>
      </w:r>
    </w:p>
    <w:p w:rsidR="0002212F" w:rsidRPr="00CA0A3E" w:rsidRDefault="00C132AF" w:rsidP="00CA0A3E">
      <w:pPr>
        <w:pStyle w:val="Akapitzlist"/>
        <w:numPr>
          <w:ilvl w:val="0"/>
          <w:numId w:val="19"/>
        </w:numPr>
        <w:jc w:val="both"/>
        <w:rPr>
          <w:rFonts w:cs="Times New Roman"/>
          <w:szCs w:val="24"/>
        </w:rPr>
      </w:pPr>
      <w:r w:rsidRPr="00CA0A3E">
        <w:rPr>
          <w:rFonts w:cs="Times New Roman"/>
          <w:color w:val="000000"/>
          <w:szCs w:val="24"/>
        </w:rPr>
        <w:t>W przypadku otrzymania odmowy zablokowania profilu kandydata na kierowcę lub informacji, że umieszczone w profilu kandydata n</w:t>
      </w:r>
      <w:r w:rsidR="00E64FFC">
        <w:rPr>
          <w:rFonts w:cs="Times New Roman"/>
          <w:color w:val="000000"/>
          <w:szCs w:val="24"/>
        </w:rPr>
        <w:t>a</w:t>
      </w:r>
      <w:r w:rsidRPr="00CA0A3E">
        <w:rPr>
          <w:rFonts w:cs="Times New Roman"/>
          <w:color w:val="000000"/>
          <w:szCs w:val="24"/>
        </w:rPr>
        <w:t xml:space="preserve"> kierowcę dane nie pozwalają na przeprowadzenie egzaminu ośrodek egzaminowania </w:t>
      </w:r>
      <w:r w:rsidR="00E64FFC">
        <w:rPr>
          <w:rFonts w:cs="Times New Roman"/>
          <w:color w:val="000000"/>
          <w:szCs w:val="24"/>
        </w:rPr>
        <w:t>nie</w:t>
      </w:r>
      <w:r w:rsidRPr="00CA0A3E">
        <w:rPr>
          <w:rFonts w:cs="Times New Roman"/>
          <w:color w:val="000000"/>
          <w:szCs w:val="24"/>
        </w:rPr>
        <w:t xml:space="preserve"> wyznacza terminu egzaminu.</w:t>
      </w:r>
      <w:r w:rsidR="00E6762B" w:rsidRPr="00CA0A3E">
        <w:rPr>
          <w:rFonts w:cs="Times New Roman"/>
          <w:color w:val="000000"/>
          <w:szCs w:val="24"/>
        </w:rPr>
        <w:t>”</w:t>
      </w:r>
      <w:r w:rsidR="00EB0680">
        <w:rPr>
          <w:rFonts w:cs="Times New Roman"/>
          <w:color w:val="000000"/>
          <w:szCs w:val="24"/>
        </w:rPr>
        <w:t>;</w:t>
      </w:r>
    </w:p>
    <w:p w:rsidR="0029028A" w:rsidRDefault="0029028A" w:rsidP="0029028A">
      <w:pPr>
        <w:pStyle w:val="Akapitzlist"/>
      </w:pPr>
    </w:p>
    <w:p w:rsidR="00E2592E" w:rsidRDefault="00E92D2B" w:rsidP="00E92D2B">
      <w:pPr>
        <w:pStyle w:val="Akapitzlist"/>
        <w:numPr>
          <w:ilvl w:val="0"/>
          <w:numId w:val="5"/>
        </w:numPr>
      </w:pPr>
      <w:r>
        <w:t xml:space="preserve">w § 30 </w:t>
      </w:r>
      <w:r w:rsidR="00EB0680">
        <w:t xml:space="preserve">po ust. 1 </w:t>
      </w:r>
      <w:r>
        <w:t>dodaje się ust. 1a w brzmieniu:</w:t>
      </w:r>
    </w:p>
    <w:p w:rsidR="00E92D2B" w:rsidRPr="00EB0680" w:rsidRDefault="00E92D2B" w:rsidP="00EB0680">
      <w:pPr>
        <w:pStyle w:val="Akapitzlist"/>
        <w:rPr>
          <w:rFonts w:cs="Times New Roman"/>
          <w:color w:val="000000"/>
          <w:szCs w:val="24"/>
        </w:rPr>
      </w:pPr>
      <w:r>
        <w:t>„1a. W przypadku</w:t>
      </w:r>
      <w:r w:rsidR="00EB0680">
        <w:t>,</w:t>
      </w:r>
      <w:r>
        <w:t xml:space="preserve"> o którym mowa w § 11 ust. 4</w:t>
      </w:r>
      <w:r w:rsidR="00EB0680">
        <w:t xml:space="preserve"> i 5 </w:t>
      </w:r>
      <w:r w:rsidR="009C1E68">
        <w:t>w</w:t>
      </w:r>
      <w:r w:rsidRPr="00EB0680">
        <w:rPr>
          <w:rFonts w:cs="Times New Roman"/>
          <w:color w:val="000000"/>
          <w:szCs w:val="24"/>
        </w:rPr>
        <w:t>yniki poszczególnych części egzaminu państwowego egzaminator wpisuje oddzielnie dla każdej kategorii prawa jazdy lub pozwolenia:</w:t>
      </w:r>
    </w:p>
    <w:p w:rsidR="00E92D2B" w:rsidRPr="007B12F8" w:rsidRDefault="00E92D2B" w:rsidP="007B12F8">
      <w:pPr>
        <w:pStyle w:val="Akapitzlist"/>
        <w:numPr>
          <w:ilvl w:val="0"/>
          <w:numId w:val="8"/>
        </w:numPr>
        <w:jc w:val="both"/>
        <w:rPr>
          <w:rFonts w:eastAsia="Times New Roman" w:cs="Times New Roman"/>
          <w:color w:val="000000"/>
          <w:szCs w:val="24"/>
          <w:lang w:eastAsia="pl-PL"/>
        </w:rPr>
      </w:pPr>
      <w:r w:rsidRPr="007B12F8">
        <w:rPr>
          <w:rFonts w:eastAsia="Times New Roman" w:cs="Times New Roman"/>
          <w:color w:val="000000"/>
          <w:szCs w:val="24"/>
          <w:lang w:eastAsia="pl-PL"/>
        </w:rPr>
        <w:t>na listę osób zakwalifikowanych na egzamin, bezpośrednio po zakończeniu dla określonej osoby egzaminu, przez umieszczenie w odpowiednich rubrykach litery:</w:t>
      </w:r>
    </w:p>
    <w:p w:rsidR="00E92D2B" w:rsidRPr="00E92D2B" w:rsidRDefault="00E92D2B" w:rsidP="007B12F8">
      <w:pPr>
        <w:pStyle w:val="Akapitzlist"/>
        <w:numPr>
          <w:ilvl w:val="0"/>
          <w:numId w:val="9"/>
        </w:numPr>
        <w:ind w:left="1843"/>
      </w:pPr>
      <w:r w:rsidRPr="00E92D2B">
        <w:t>"P" -jeżeli wynik jest pozytywny,</w:t>
      </w:r>
    </w:p>
    <w:p w:rsidR="00E92D2B" w:rsidRPr="00E92D2B" w:rsidRDefault="00E92D2B" w:rsidP="007B12F8">
      <w:pPr>
        <w:pStyle w:val="Akapitzlist"/>
        <w:numPr>
          <w:ilvl w:val="0"/>
          <w:numId w:val="9"/>
        </w:numPr>
        <w:ind w:left="1843"/>
        <w:rPr>
          <w:rFonts w:cs="Times New Roman"/>
          <w:szCs w:val="24"/>
        </w:rPr>
      </w:pPr>
      <w:r w:rsidRPr="00E92D2B">
        <w:t>"N" -</w:t>
      </w:r>
      <w:r w:rsidRPr="00E92D2B">
        <w:rPr>
          <w:rFonts w:cs="Times New Roman"/>
          <w:szCs w:val="24"/>
        </w:rPr>
        <w:t>jeżeli wynik jest negatywny,</w:t>
      </w:r>
    </w:p>
    <w:p w:rsidR="00E92D2B" w:rsidRPr="007B12F8" w:rsidRDefault="00E92D2B" w:rsidP="007B12F8">
      <w:pPr>
        <w:pStyle w:val="Akapitzlist"/>
        <w:numPr>
          <w:ilvl w:val="0"/>
          <w:numId w:val="9"/>
        </w:numPr>
        <w:ind w:left="1843"/>
        <w:rPr>
          <w:rFonts w:cs="Times New Roman"/>
          <w:szCs w:val="24"/>
        </w:rPr>
      </w:pPr>
      <w:r w:rsidRPr="00E92D2B">
        <w:rPr>
          <w:rFonts w:cs="Times New Roman"/>
          <w:szCs w:val="24"/>
        </w:rPr>
        <w:t>"X" -jeżeli osoba nie przystąpiła do egzaminu;</w:t>
      </w:r>
    </w:p>
    <w:p w:rsidR="00E92D2B" w:rsidRPr="00E92D2B" w:rsidRDefault="007B12F8" w:rsidP="007B12F8">
      <w:pPr>
        <w:pStyle w:val="Akapitzlist"/>
        <w:numPr>
          <w:ilvl w:val="0"/>
          <w:numId w:val="8"/>
        </w:numPr>
        <w:jc w:val="both"/>
        <w:rPr>
          <w:rFonts w:cs="Times New Roman"/>
          <w:szCs w:val="24"/>
        </w:rPr>
      </w:pPr>
      <w:r w:rsidRPr="007B12F8">
        <w:rPr>
          <w:rFonts w:cs="Times New Roman"/>
          <w:szCs w:val="24"/>
        </w:rPr>
        <w:t>d</w:t>
      </w:r>
      <w:r w:rsidR="009C1E68" w:rsidRPr="007B12F8">
        <w:rPr>
          <w:rFonts w:cs="Times New Roman"/>
          <w:szCs w:val="24"/>
        </w:rPr>
        <w:t xml:space="preserve">o </w:t>
      </w:r>
      <w:r w:rsidR="009C1E68" w:rsidRPr="007B12F8">
        <w:rPr>
          <w:rFonts w:eastAsia="Times New Roman" w:cs="Times New Roman"/>
          <w:color w:val="000000"/>
          <w:szCs w:val="24"/>
          <w:lang w:eastAsia="pl-PL"/>
        </w:rPr>
        <w:t>systemu</w:t>
      </w:r>
      <w:r w:rsidR="009C1E68" w:rsidRPr="007B12F8">
        <w:rPr>
          <w:rFonts w:cs="Times New Roman"/>
          <w:szCs w:val="24"/>
        </w:rPr>
        <w:t xml:space="preserve"> teleinformatycznego wojewódzkiego ośrodka ruchu drogowego</w:t>
      </w:r>
      <w:r w:rsidRPr="007B12F8">
        <w:rPr>
          <w:rFonts w:cs="Times New Roman"/>
          <w:szCs w:val="24"/>
        </w:rPr>
        <w:t xml:space="preserve"> </w:t>
      </w:r>
      <w:r w:rsidRPr="007B12F8">
        <w:rPr>
          <w:rFonts w:cs="Times New Roman"/>
          <w:color w:val="000000"/>
          <w:szCs w:val="24"/>
        </w:rPr>
        <w:t>potwierdzając ten wpis bezpiecznym podpisem elektronicznym</w:t>
      </w:r>
      <w:r w:rsidRPr="007B12F8">
        <w:rPr>
          <w:rFonts w:cs="Times New Roman"/>
          <w:szCs w:val="24"/>
        </w:rPr>
        <w:t>.”</w:t>
      </w:r>
    </w:p>
    <w:p w:rsidR="007B12F8" w:rsidRDefault="007B12F8" w:rsidP="007B12F8">
      <w:pPr>
        <w:pStyle w:val="Akapitzlist"/>
        <w:rPr>
          <w:rFonts w:cs="Times New Roman"/>
          <w:szCs w:val="24"/>
        </w:rPr>
      </w:pPr>
    </w:p>
    <w:p w:rsidR="003D647C" w:rsidRDefault="003D647C" w:rsidP="007B12F8">
      <w:pPr>
        <w:pStyle w:val="Akapitzlist"/>
        <w:numPr>
          <w:ilvl w:val="0"/>
          <w:numId w:val="5"/>
        </w:numPr>
        <w:rPr>
          <w:rFonts w:cs="Times New Roman"/>
          <w:szCs w:val="24"/>
        </w:rPr>
      </w:pPr>
      <w:r>
        <w:rPr>
          <w:rFonts w:cs="Times New Roman"/>
          <w:szCs w:val="24"/>
        </w:rPr>
        <w:t>W § 35 dodaje się ust. 7 w brzmieniu:</w:t>
      </w:r>
    </w:p>
    <w:p w:rsidR="003D647C" w:rsidRDefault="003D647C" w:rsidP="003D647C">
      <w:pPr>
        <w:pStyle w:val="Akapitzlist"/>
        <w:rPr>
          <w:rFonts w:cs="Times New Roman"/>
          <w:szCs w:val="24"/>
        </w:rPr>
      </w:pPr>
      <w:r>
        <w:rPr>
          <w:rFonts w:cs="Times New Roman"/>
          <w:szCs w:val="24"/>
        </w:rPr>
        <w:t>„7. W przypadku</w:t>
      </w:r>
      <w:r w:rsidR="00EB0680">
        <w:rPr>
          <w:rFonts w:cs="Times New Roman"/>
          <w:szCs w:val="24"/>
        </w:rPr>
        <w:t>,</w:t>
      </w:r>
      <w:r>
        <w:rPr>
          <w:rFonts w:cs="Times New Roman"/>
          <w:szCs w:val="24"/>
        </w:rPr>
        <w:t xml:space="preserve"> o którym mowa w § 11 ust. 4 </w:t>
      </w:r>
      <w:r w:rsidR="00EB0680">
        <w:rPr>
          <w:rFonts w:cs="Times New Roman"/>
          <w:szCs w:val="24"/>
        </w:rPr>
        <w:t xml:space="preserve">i 5, </w:t>
      </w:r>
      <w:r>
        <w:rPr>
          <w:rFonts w:cs="Times New Roman"/>
          <w:szCs w:val="24"/>
        </w:rPr>
        <w:t>stosuje się odpowiednio przepisy ust. 2 – 6 z tym że dokumenty i informacje przesyła się w formie papierowej.”</w:t>
      </w:r>
    </w:p>
    <w:p w:rsidR="00E92D2B" w:rsidRDefault="007B12F8" w:rsidP="007B12F8">
      <w:pPr>
        <w:pStyle w:val="Akapitzlist"/>
        <w:numPr>
          <w:ilvl w:val="0"/>
          <w:numId w:val="5"/>
        </w:numPr>
        <w:rPr>
          <w:rFonts w:cs="Times New Roman"/>
          <w:szCs w:val="24"/>
        </w:rPr>
      </w:pPr>
      <w:r>
        <w:rPr>
          <w:rFonts w:cs="Times New Roman"/>
          <w:szCs w:val="24"/>
        </w:rPr>
        <w:t xml:space="preserve">W § 39 dodaje się ust. 1a </w:t>
      </w:r>
      <w:r w:rsidR="000508BD">
        <w:rPr>
          <w:rFonts w:cs="Times New Roman"/>
          <w:szCs w:val="24"/>
        </w:rPr>
        <w:t xml:space="preserve">i 1b </w:t>
      </w:r>
      <w:r>
        <w:rPr>
          <w:rFonts w:cs="Times New Roman"/>
          <w:szCs w:val="24"/>
        </w:rPr>
        <w:t>w brzmieniu:</w:t>
      </w:r>
    </w:p>
    <w:p w:rsidR="007B12F8" w:rsidRDefault="007B12F8" w:rsidP="000508BD">
      <w:pPr>
        <w:pStyle w:val="Akapitzlist"/>
        <w:ind w:left="1134" w:hanging="414"/>
        <w:rPr>
          <w:rFonts w:cs="Times New Roman"/>
          <w:szCs w:val="24"/>
        </w:rPr>
      </w:pPr>
      <w:r>
        <w:rPr>
          <w:rFonts w:cs="Times New Roman"/>
          <w:szCs w:val="24"/>
        </w:rPr>
        <w:t xml:space="preserve">„1a. w przypadku o którym mowa w § 11 ust. 4 </w:t>
      </w:r>
      <w:r w:rsidR="00EB0680">
        <w:rPr>
          <w:rFonts w:cs="Times New Roman"/>
          <w:szCs w:val="24"/>
        </w:rPr>
        <w:t xml:space="preserve">i 5, </w:t>
      </w:r>
      <w:r>
        <w:rPr>
          <w:rFonts w:cs="Times New Roman"/>
          <w:szCs w:val="24"/>
        </w:rPr>
        <w:t xml:space="preserve">ośrodek egzaminowania przesyła właściwemu organowi wydającemu prawo jazdy lub pozwolenie </w:t>
      </w:r>
      <w:r w:rsidR="00D60581">
        <w:rPr>
          <w:rFonts w:cs="Times New Roman"/>
          <w:szCs w:val="24"/>
        </w:rPr>
        <w:t>podpisan</w:t>
      </w:r>
      <w:r w:rsidR="0088278B">
        <w:rPr>
          <w:rFonts w:cs="Times New Roman"/>
          <w:szCs w:val="24"/>
        </w:rPr>
        <w:t>ą</w:t>
      </w:r>
      <w:r w:rsidR="00D60581">
        <w:rPr>
          <w:rFonts w:cs="Times New Roman"/>
          <w:szCs w:val="24"/>
        </w:rPr>
        <w:t xml:space="preserve"> przez dyrektora </w:t>
      </w:r>
      <w:r>
        <w:rPr>
          <w:rFonts w:cs="Times New Roman"/>
          <w:szCs w:val="24"/>
        </w:rPr>
        <w:t xml:space="preserve">informację o pozytywnym albo negatywnym wyniku egzaminu państwowego w formie dokumentu papierowego zawierającego </w:t>
      </w:r>
      <w:r w:rsidR="00D60581">
        <w:rPr>
          <w:rFonts w:cs="Times New Roman"/>
          <w:szCs w:val="24"/>
        </w:rPr>
        <w:t xml:space="preserve">następujące </w:t>
      </w:r>
      <w:r>
        <w:rPr>
          <w:rFonts w:cs="Times New Roman"/>
          <w:szCs w:val="24"/>
        </w:rPr>
        <w:t>dane</w:t>
      </w:r>
      <w:r w:rsidR="00D60581">
        <w:rPr>
          <w:rFonts w:cs="Times New Roman"/>
          <w:szCs w:val="24"/>
        </w:rPr>
        <w:t>:</w:t>
      </w:r>
    </w:p>
    <w:p w:rsidR="00E01DB9" w:rsidRDefault="0088278B" w:rsidP="000508BD">
      <w:pPr>
        <w:pStyle w:val="Akapitzlist"/>
        <w:numPr>
          <w:ilvl w:val="0"/>
          <w:numId w:val="10"/>
        </w:numPr>
        <w:ind w:left="1418"/>
        <w:rPr>
          <w:rFonts w:cs="Times New Roman"/>
          <w:szCs w:val="24"/>
        </w:rPr>
      </w:pPr>
      <w:r>
        <w:rPr>
          <w:rFonts w:cs="Times New Roman"/>
          <w:szCs w:val="24"/>
        </w:rPr>
        <w:t>numer</w:t>
      </w:r>
      <w:r w:rsidR="00E01DB9">
        <w:rPr>
          <w:rFonts w:cs="Times New Roman"/>
          <w:szCs w:val="24"/>
        </w:rPr>
        <w:t xml:space="preserve"> profilu kandydata na kierowcę w</w:t>
      </w:r>
      <w:r>
        <w:rPr>
          <w:rFonts w:cs="Times New Roman"/>
          <w:szCs w:val="24"/>
        </w:rPr>
        <w:t>ydanego dla osoby egzaminowanej;</w:t>
      </w:r>
    </w:p>
    <w:p w:rsidR="00D60581" w:rsidRDefault="0088278B" w:rsidP="000508BD">
      <w:pPr>
        <w:pStyle w:val="Akapitzlist"/>
        <w:numPr>
          <w:ilvl w:val="0"/>
          <w:numId w:val="10"/>
        </w:numPr>
        <w:ind w:left="1418"/>
        <w:rPr>
          <w:rFonts w:cs="Times New Roman"/>
          <w:szCs w:val="24"/>
        </w:rPr>
      </w:pPr>
      <w:r>
        <w:rPr>
          <w:rFonts w:cs="Times New Roman"/>
          <w:szCs w:val="24"/>
        </w:rPr>
        <w:t>i</w:t>
      </w:r>
      <w:r w:rsidR="00D60581">
        <w:rPr>
          <w:rFonts w:cs="Times New Roman"/>
          <w:szCs w:val="24"/>
        </w:rPr>
        <w:t xml:space="preserve">mię i nazwisko  osoby </w:t>
      </w:r>
      <w:r>
        <w:rPr>
          <w:rFonts w:cs="Times New Roman"/>
          <w:szCs w:val="24"/>
        </w:rPr>
        <w:t>egzaminowanej;</w:t>
      </w:r>
    </w:p>
    <w:p w:rsidR="00D60581" w:rsidRDefault="0088278B" w:rsidP="000508BD">
      <w:pPr>
        <w:pStyle w:val="Akapitzlist"/>
        <w:numPr>
          <w:ilvl w:val="0"/>
          <w:numId w:val="10"/>
        </w:numPr>
        <w:ind w:left="1418"/>
        <w:rPr>
          <w:rFonts w:cs="Times New Roman"/>
          <w:szCs w:val="24"/>
        </w:rPr>
      </w:pPr>
      <w:r>
        <w:rPr>
          <w:rFonts w:cs="Times New Roman"/>
          <w:szCs w:val="24"/>
        </w:rPr>
        <w:lastRenderedPageBreak/>
        <w:t>numer</w:t>
      </w:r>
      <w:r w:rsidR="00D60581">
        <w:rPr>
          <w:rFonts w:cs="Times New Roman"/>
          <w:szCs w:val="24"/>
        </w:rPr>
        <w:t xml:space="preserve"> PESEL lub datę urodzenia osoby egzaminowanej</w:t>
      </w:r>
      <w:r w:rsidR="00E01DB9">
        <w:rPr>
          <w:rFonts w:cs="Times New Roman"/>
          <w:szCs w:val="24"/>
        </w:rPr>
        <w:t xml:space="preserve"> w przypadku osoby nieposiadającej numeru PESEL</w:t>
      </w:r>
      <w:r>
        <w:rPr>
          <w:rFonts w:cs="Times New Roman"/>
          <w:szCs w:val="24"/>
        </w:rPr>
        <w:t>;</w:t>
      </w:r>
    </w:p>
    <w:p w:rsidR="00D60581" w:rsidRDefault="00D60581" w:rsidP="000508BD">
      <w:pPr>
        <w:pStyle w:val="Akapitzlist"/>
        <w:numPr>
          <w:ilvl w:val="0"/>
          <w:numId w:val="10"/>
        </w:numPr>
        <w:ind w:left="1418"/>
        <w:rPr>
          <w:rFonts w:cs="Times New Roman"/>
          <w:szCs w:val="24"/>
        </w:rPr>
      </w:pPr>
      <w:r>
        <w:rPr>
          <w:rFonts w:cs="Times New Roman"/>
          <w:szCs w:val="24"/>
        </w:rPr>
        <w:t>kategori</w:t>
      </w:r>
      <w:r w:rsidR="0088278B">
        <w:rPr>
          <w:rFonts w:cs="Times New Roman"/>
          <w:szCs w:val="24"/>
        </w:rPr>
        <w:t>e</w:t>
      </w:r>
      <w:r>
        <w:rPr>
          <w:rFonts w:cs="Times New Roman"/>
          <w:szCs w:val="24"/>
        </w:rPr>
        <w:t xml:space="preserve"> prawa jazdy </w:t>
      </w:r>
      <w:r w:rsidR="000508BD">
        <w:rPr>
          <w:rFonts w:cs="Times New Roman"/>
          <w:szCs w:val="24"/>
        </w:rPr>
        <w:t>lub pozwolenia</w:t>
      </w:r>
      <w:r w:rsidR="0088278B">
        <w:rPr>
          <w:rFonts w:cs="Times New Roman"/>
          <w:szCs w:val="24"/>
        </w:rPr>
        <w:t>,</w:t>
      </w:r>
      <w:r w:rsidR="000508BD">
        <w:rPr>
          <w:rFonts w:cs="Times New Roman"/>
          <w:szCs w:val="24"/>
        </w:rPr>
        <w:t xml:space="preserve"> </w:t>
      </w:r>
      <w:r>
        <w:rPr>
          <w:rFonts w:cs="Times New Roman"/>
          <w:szCs w:val="24"/>
        </w:rPr>
        <w:t xml:space="preserve">dla </w:t>
      </w:r>
      <w:r w:rsidR="000508BD">
        <w:rPr>
          <w:rFonts w:cs="Times New Roman"/>
          <w:szCs w:val="24"/>
        </w:rPr>
        <w:t>których był p</w:t>
      </w:r>
      <w:r w:rsidR="0088278B">
        <w:rPr>
          <w:rFonts w:cs="Times New Roman"/>
          <w:szCs w:val="24"/>
        </w:rPr>
        <w:t>rzeprowadzony egzamin państwowy;</w:t>
      </w:r>
    </w:p>
    <w:p w:rsidR="000508BD" w:rsidRDefault="0088278B" w:rsidP="000508BD">
      <w:pPr>
        <w:pStyle w:val="Akapitzlist"/>
        <w:numPr>
          <w:ilvl w:val="0"/>
          <w:numId w:val="10"/>
        </w:numPr>
        <w:ind w:left="1418"/>
        <w:rPr>
          <w:rFonts w:cs="Times New Roman"/>
          <w:szCs w:val="24"/>
        </w:rPr>
      </w:pPr>
      <w:r>
        <w:rPr>
          <w:rFonts w:cs="Times New Roman"/>
          <w:szCs w:val="24"/>
        </w:rPr>
        <w:t>w</w:t>
      </w:r>
      <w:r w:rsidR="000508BD">
        <w:rPr>
          <w:rFonts w:cs="Times New Roman"/>
          <w:szCs w:val="24"/>
        </w:rPr>
        <w:t>yniki egzaminów dla poszczególnych kategorii prawa</w:t>
      </w:r>
      <w:r>
        <w:rPr>
          <w:rFonts w:cs="Times New Roman"/>
          <w:szCs w:val="24"/>
        </w:rPr>
        <w:t xml:space="preserve"> jazdy lub pozwolenia;</w:t>
      </w:r>
    </w:p>
    <w:p w:rsidR="000508BD" w:rsidRDefault="0088278B" w:rsidP="000508BD">
      <w:pPr>
        <w:pStyle w:val="Akapitzlist"/>
        <w:numPr>
          <w:ilvl w:val="0"/>
          <w:numId w:val="10"/>
        </w:numPr>
        <w:ind w:left="1418"/>
        <w:rPr>
          <w:rFonts w:cs="Times New Roman"/>
          <w:szCs w:val="24"/>
        </w:rPr>
      </w:pPr>
      <w:r>
        <w:rPr>
          <w:rFonts w:cs="Times New Roman"/>
          <w:szCs w:val="24"/>
        </w:rPr>
        <w:t>i</w:t>
      </w:r>
      <w:r w:rsidR="000508BD">
        <w:rPr>
          <w:rFonts w:cs="Times New Roman"/>
          <w:szCs w:val="24"/>
        </w:rPr>
        <w:t>nformację o egzaminatorze</w:t>
      </w:r>
      <w:r>
        <w:rPr>
          <w:rFonts w:cs="Times New Roman"/>
          <w:szCs w:val="24"/>
        </w:rPr>
        <w:t>,</w:t>
      </w:r>
      <w:r w:rsidR="000508BD">
        <w:rPr>
          <w:rFonts w:cs="Times New Roman"/>
          <w:szCs w:val="24"/>
        </w:rPr>
        <w:t xml:space="preserve"> który potwierdził wynik egzaminu</w:t>
      </w:r>
      <w:r>
        <w:rPr>
          <w:rFonts w:cs="Times New Roman"/>
          <w:szCs w:val="24"/>
        </w:rPr>
        <w:t xml:space="preserve"> państwowego</w:t>
      </w:r>
      <w:r w:rsidR="000508BD">
        <w:rPr>
          <w:rFonts w:cs="Times New Roman"/>
          <w:szCs w:val="24"/>
        </w:rPr>
        <w:t>.</w:t>
      </w:r>
    </w:p>
    <w:p w:rsidR="000508BD" w:rsidRDefault="000508BD" w:rsidP="000508BD">
      <w:pPr>
        <w:pStyle w:val="Akapitzlist"/>
        <w:ind w:left="1134" w:hanging="414"/>
        <w:rPr>
          <w:rFonts w:cs="Times New Roman"/>
          <w:szCs w:val="24"/>
        </w:rPr>
      </w:pPr>
      <w:r>
        <w:rPr>
          <w:rFonts w:cs="Times New Roman"/>
          <w:szCs w:val="24"/>
        </w:rPr>
        <w:t>1b. Do informacji</w:t>
      </w:r>
      <w:r w:rsidR="0088278B">
        <w:rPr>
          <w:rFonts w:cs="Times New Roman"/>
          <w:szCs w:val="24"/>
        </w:rPr>
        <w:t>,</w:t>
      </w:r>
      <w:r>
        <w:rPr>
          <w:rFonts w:cs="Times New Roman"/>
          <w:szCs w:val="24"/>
        </w:rPr>
        <w:t xml:space="preserve"> o której mowa w ust. 1a</w:t>
      </w:r>
      <w:r w:rsidR="0088278B">
        <w:rPr>
          <w:rFonts w:cs="Times New Roman"/>
          <w:szCs w:val="24"/>
        </w:rPr>
        <w:t>,</w:t>
      </w:r>
      <w:r>
        <w:rPr>
          <w:rFonts w:cs="Times New Roman"/>
          <w:szCs w:val="24"/>
        </w:rPr>
        <w:t xml:space="preserve"> dołącz</w:t>
      </w:r>
      <w:r w:rsidR="008629AB">
        <w:rPr>
          <w:rFonts w:cs="Times New Roman"/>
          <w:szCs w:val="24"/>
        </w:rPr>
        <w:t>a</w:t>
      </w:r>
      <w:r>
        <w:rPr>
          <w:rFonts w:cs="Times New Roman"/>
          <w:szCs w:val="24"/>
        </w:rPr>
        <w:t xml:space="preserve"> się kopie oświadczenia</w:t>
      </w:r>
      <w:r w:rsidR="0088278B">
        <w:rPr>
          <w:rFonts w:cs="Times New Roman"/>
          <w:szCs w:val="24"/>
        </w:rPr>
        <w:t>,</w:t>
      </w:r>
      <w:r>
        <w:rPr>
          <w:rFonts w:cs="Times New Roman"/>
          <w:szCs w:val="24"/>
        </w:rPr>
        <w:t xml:space="preserve"> o którym mowa w § 11 ust. 4 pkt 2</w:t>
      </w:r>
      <w:r w:rsidR="0088278B">
        <w:rPr>
          <w:rFonts w:cs="Times New Roman"/>
          <w:szCs w:val="24"/>
        </w:rPr>
        <w:t>.</w:t>
      </w:r>
      <w:r>
        <w:rPr>
          <w:rFonts w:cs="Times New Roman"/>
          <w:szCs w:val="24"/>
        </w:rPr>
        <w:t>”</w:t>
      </w:r>
      <w:r w:rsidR="0088278B">
        <w:rPr>
          <w:rFonts w:cs="Times New Roman"/>
          <w:szCs w:val="24"/>
        </w:rPr>
        <w:t>.</w:t>
      </w:r>
    </w:p>
    <w:p w:rsidR="00391247" w:rsidRDefault="00391247" w:rsidP="000508BD">
      <w:pPr>
        <w:pStyle w:val="Akapitzlist"/>
        <w:ind w:left="1134" w:hanging="414"/>
        <w:rPr>
          <w:rFonts w:cs="Times New Roman"/>
          <w:szCs w:val="24"/>
        </w:rPr>
      </w:pPr>
    </w:p>
    <w:p w:rsidR="00391247" w:rsidRPr="00266F67" w:rsidRDefault="00391247" w:rsidP="00391247">
      <w:pPr>
        <w:pStyle w:val="Akapitzlist"/>
        <w:numPr>
          <w:ilvl w:val="0"/>
          <w:numId w:val="14"/>
        </w:numPr>
        <w:autoSpaceDE w:val="0"/>
        <w:autoSpaceDN w:val="0"/>
        <w:adjustRightInd w:val="0"/>
        <w:ind w:left="540"/>
        <w:jc w:val="both"/>
        <w:rPr>
          <w:rFonts w:cs="Times New Roman"/>
          <w:szCs w:val="24"/>
        </w:rPr>
      </w:pPr>
      <w:r w:rsidRPr="00391247">
        <w:rPr>
          <w:color w:val="000000"/>
          <w:szCs w:val="24"/>
          <w:lang w:eastAsia="pl-PL"/>
        </w:rPr>
        <w:t xml:space="preserve"> Rozporządzenie </w:t>
      </w:r>
      <w:r w:rsidRPr="00266F67">
        <w:rPr>
          <w:rFonts w:cs="Times New Roman"/>
          <w:szCs w:val="24"/>
        </w:rPr>
        <w:t xml:space="preserve">wchodzi w </w:t>
      </w:r>
      <w:r>
        <w:rPr>
          <w:rFonts w:cs="Times New Roman"/>
          <w:szCs w:val="24"/>
        </w:rPr>
        <w:t>dniu następującym po dniu ogłoszenia</w:t>
      </w:r>
      <w:r w:rsidRPr="00266F67">
        <w:rPr>
          <w:rFonts w:cs="Times New Roman"/>
          <w:szCs w:val="24"/>
        </w:rPr>
        <w:t>.</w:t>
      </w:r>
    </w:p>
    <w:p w:rsidR="00391247" w:rsidRPr="00391247" w:rsidRDefault="00391247" w:rsidP="00391247">
      <w:pPr>
        <w:pStyle w:val="Akapitzlist"/>
        <w:autoSpaceDE w:val="0"/>
        <w:autoSpaceDN w:val="0"/>
        <w:adjustRightInd w:val="0"/>
        <w:ind w:left="540"/>
        <w:jc w:val="both"/>
        <w:rPr>
          <w:color w:val="000000"/>
          <w:szCs w:val="24"/>
          <w:lang w:eastAsia="pl-PL"/>
        </w:rPr>
      </w:pPr>
    </w:p>
    <w:p w:rsidR="00391247" w:rsidRDefault="00391247" w:rsidP="00391247">
      <w:pPr>
        <w:ind w:left="5672"/>
        <w:jc w:val="center"/>
        <w:rPr>
          <w:b/>
          <w:color w:val="000000"/>
          <w:szCs w:val="24"/>
          <w:lang w:eastAsia="pl-PL"/>
        </w:rPr>
      </w:pPr>
    </w:p>
    <w:p w:rsidR="00391247" w:rsidRDefault="00391247" w:rsidP="00391247">
      <w:pPr>
        <w:ind w:left="5672"/>
        <w:jc w:val="center"/>
        <w:rPr>
          <w:b/>
          <w:color w:val="000000"/>
          <w:szCs w:val="24"/>
          <w:lang w:eastAsia="pl-PL"/>
        </w:rPr>
      </w:pPr>
      <w:r w:rsidRPr="001B3749">
        <w:rPr>
          <w:b/>
          <w:color w:val="000000"/>
          <w:szCs w:val="24"/>
          <w:lang w:eastAsia="pl-PL"/>
        </w:rPr>
        <w:t>Minister</w:t>
      </w:r>
    </w:p>
    <w:p w:rsidR="00391247" w:rsidRDefault="00391247" w:rsidP="00391247">
      <w:pPr>
        <w:ind w:left="5672"/>
        <w:jc w:val="center"/>
        <w:rPr>
          <w:b/>
          <w:color w:val="000000"/>
          <w:szCs w:val="24"/>
          <w:lang w:eastAsia="pl-PL"/>
        </w:rPr>
      </w:pPr>
      <w:r>
        <w:rPr>
          <w:b/>
          <w:color w:val="000000"/>
          <w:szCs w:val="24"/>
          <w:lang w:eastAsia="pl-PL"/>
        </w:rPr>
        <w:t>Transportu, Budownictwa</w:t>
      </w:r>
    </w:p>
    <w:p w:rsidR="00391247" w:rsidRDefault="00391247" w:rsidP="00391247">
      <w:pPr>
        <w:ind w:left="5672"/>
        <w:jc w:val="center"/>
        <w:rPr>
          <w:b/>
          <w:color w:val="000000"/>
          <w:szCs w:val="24"/>
          <w:lang w:eastAsia="pl-PL"/>
        </w:rPr>
      </w:pPr>
      <w:r>
        <w:rPr>
          <w:b/>
          <w:color w:val="000000"/>
          <w:szCs w:val="24"/>
          <w:lang w:eastAsia="pl-PL"/>
        </w:rPr>
        <w:t>i Gospodarki Morskiej</w:t>
      </w:r>
    </w:p>
    <w:p w:rsidR="00391247" w:rsidRDefault="00391247" w:rsidP="00391247">
      <w:pPr>
        <w:rPr>
          <w:sz w:val="20"/>
          <w:szCs w:val="20"/>
        </w:rPr>
      </w:pPr>
    </w:p>
    <w:p w:rsidR="00391247" w:rsidRDefault="00391247" w:rsidP="00391247">
      <w:pPr>
        <w:rPr>
          <w:sz w:val="20"/>
          <w:szCs w:val="20"/>
        </w:rPr>
      </w:pPr>
    </w:p>
    <w:p w:rsidR="00391247" w:rsidRPr="001B3749" w:rsidRDefault="00391247" w:rsidP="00391247">
      <w:pPr>
        <w:rPr>
          <w:sz w:val="20"/>
          <w:szCs w:val="20"/>
        </w:rPr>
      </w:pPr>
      <w:r>
        <w:rPr>
          <w:sz w:val="20"/>
          <w:szCs w:val="20"/>
        </w:rPr>
        <w:t>w</w:t>
      </w:r>
      <w:r w:rsidRPr="001B3749">
        <w:rPr>
          <w:sz w:val="20"/>
          <w:szCs w:val="20"/>
        </w:rPr>
        <w:t xml:space="preserve"> porozumieniu</w:t>
      </w:r>
      <w:r>
        <w:rPr>
          <w:sz w:val="20"/>
          <w:szCs w:val="20"/>
        </w:rPr>
        <w:t>:</w:t>
      </w:r>
    </w:p>
    <w:p w:rsidR="00391247" w:rsidRDefault="00391247" w:rsidP="00391247">
      <w:pPr>
        <w:rPr>
          <w:b/>
          <w:szCs w:val="24"/>
        </w:rPr>
      </w:pPr>
    </w:p>
    <w:p w:rsidR="00391247" w:rsidRPr="001B3749" w:rsidRDefault="00391247" w:rsidP="00391247">
      <w:pPr>
        <w:rPr>
          <w:b/>
          <w:szCs w:val="24"/>
        </w:rPr>
      </w:pPr>
      <w:r w:rsidRPr="001B3749">
        <w:rPr>
          <w:b/>
          <w:szCs w:val="24"/>
        </w:rPr>
        <w:t>Minister Sp</w:t>
      </w:r>
      <w:r>
        <w:rPr>
          <w:b/>
          <w:szCs w:val="24"/>
        </w:rPr>
        <w:t>raw Wewnętrznych</w:t>
      </w:r>
    </w:p>
    <w:p w:rsidR="00391247" w:rsidRDefault="00391247" w:rsidP="00391247">
      <w:pPr>
        <w:rPr>
          <w:b/>
          <w:szCs w:val="24"/>
        </w:rPr>
      </w:pPr>
    </w:p>
    <w:p w:rsidR="00391247" w:rsidRDefault="00391247" w:rsidP="00391247">
      <w:pPr>
        <w:rPr>
          <w:b/>
          <w:szCs w:val="24"/>
        </w:rPr>
      </w:pPr>
    </w:p>
    <w:p w:rsidR="00391247" w:rsidRPr="001B3749" w:rsidRDefault="00391247" w:rsidP="00391247">
      <w:pPr>
        <w:rPr>
          <w:b/>
          <w:szCs w:val="24"/>
        </w:rPr>
      </w:pPr>
      <w:r w:rsidRPr="001B3749">
        <w:rPr>
          <w:b/>
          <w:szCs w:val="24"/>
        </w:rPr>
        <w:t xml:space="preserve">Minister Obrony Narodowej </w:t>
      </w: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29028A" w:rsidRDefault="0029028A" w:rsidP="000508BD">
      <w:pPr>
        <w:pStyle w:val="Akapitzlist"/>
        <w:ind w:left="1134" w:hanging="414"/>
        <w:rPr>
          <w:rFonts w:cs="Times New Roman"/>
          <w:szCs w:val="24"/>
        </w:rPr>
      </w:pPr>
    </w:p>
    <w:p w:rsidR="0029028A" w:rsidRDefault="0029028A"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Default="00391247" w:rsidP="000508BD">
      <w:pPr>
        <w:pStyle w:val="Akapitzlist"/>
        <w:ind w:left="1134" w:hanging="414"/>
        <w:rPr>
          <w:rFonts w:cs="Times New Roman"/>
          <w:szCs w:val="24"/>
        </w:rPr>
      </w:pPr>
    </w:p>
    <w:p w:rsidR="00391247" w:rsidRPr="0035545A" w:rsidRDefault="00391247" w:rsidP="00391247">
      <w:pPr>
        <w:jc w:val="center"/>
        <w:rPr>
          <w:rFonts w:eastAsia="Times New Roman" w:cs="Times New Roman"/>
          <w:b/>
          <w:szCs w:val="24"/>
          <w:lang w:eastAsia="pl-PL"/>
        </w:rPr>
      </w:pPr>
      <w:r w:rsidRPr="0035545A">
        <w:rPr>
          <w:rFonts w:eastAsia="Times New Roman" w:cs="Times New Roman"/>
          <w:b/>
          <w:szCs w:val="24"/>
          <w:lang w:eastAsia="pl-PL"/>
        </w:rPr>
        <w:lastRenderedPageBreak/>
        <w:t>UZASADNIENIE</w:t>
      </w:r>
    </w:p>
    <w:p w:rsidR="00391247" w:rsidRPr="0035545A" w:rsidRDefault="00391247" w:rsidP="00391247">
      <w:pPr>
        <w:rPr>
          <w:rFonts w:eastAsia="Times New Roman" w:cs="Times New Roman"/>
          <w:szCs w:val="24"/>
          <w:lang w:eastAsia="pl-PL"/>
        </w:rPr>
      </w:pPr>
    </w:p>
    <w:p w:rsidR="0029028A" w:rsidRDefault="00391247" w:rsidP="00391247">
      <w:pPr>
        <w:ind w:firstLine="708"/>
        <w:jc w:val="both"/>
        <w:rPr>
          <w:rFonts w:eastAsia="Times New Roman" w:cs="Times New Roman"/>
          <w:bCs/>
          <w:szCs w:val="20"/>
          <w:lang w:eastAsia="pl-PL"/>
        </w:rPr>
      </w:pPr>
      <w:r>
        <w:rPr>
          <w:rFonts w:eastAsia="Times New Roman" w:cs="Times New Roman"/>
          <w:szCs w:val="24"/>
          <w:lang w:eastAsia="pl-PL"/>
        </w:rPr>
        <w:t xml:space="preserve">W dniu </w:t>
      </w:r>
      <w:r w:rsidR="0029028A">
        <w:rPr>
          <w:rFonts w:eastAsia="Times New Roman" w:cs="Times New Roman"/>
          <w:szCs w:val="24"/>
          <w:lang w:eastAsia="pl-PL"/>
        </w:rPr>
        <w:t>13 lipca</w:t>
      </w:r>
      <w:r>
        <w:rPr>
          <w:rFonts w:eastAsia="Times New Roman" w:cs="Times New Roman"/>
          <w:szCs w:val="24"/>
          <w:lang w:eastAsia="pl-PL"/>
        </w:rPr>
        <w:t xml:space="preserve"> 201</w:t>
      </w:r>
      <w:r w:rsidR="0029028A">
        <w:rPr>
          <w:rFonts w:eastAsia="Times New Roman" w:cs="Times New Roman"/>
          <w:szCs w:val="24"/>
          <w:lang w:eastAsia="pl-PL"/>
        </w:rPr>
        <w:t>2</w:t>
      </w:r>
      <w:r>
        <w:rPr>
          <w:rFonts w:eastAsia="Times New Roman" w:cs="Times New Roman"/>
          <w:szCs w:val="24"/>
          <w:lang w:eastAsia="pl-PL"/>
        </w:rPr>
        <w:t xml:space="preserve"> r. Minister Transportu, Budownictwa i Gospodarki Morskiej podpisał rozporządzenie </w:t>
      </w:r>
      <w:r w:rsidR="0029028A" w:rsidRPr="00D72D14">
        <w:rPr>
          <w:rFonts w:cs="Times New Roman"/>
          <w:szCs w:val="24"/>
        </w:rPr>
        <w:t>w sprawie egzaminowania osób ubiegających się o uprawnienia do kierowania pojazdami, szkolenia, egzaminowania i uzyskiwania uprawnień przez egzaminatorów oraz wzorów dokumentów stosowanych w tych sprawach</w:t>
      </w:r>
      <w:r w:rsidR="0029028A">
        <w:rPr>
          <w:rFonts w:cs="Times New Roman"/>
          <w:szCs w:val="24"/>
        </w:rPr>
        <w:t>.</w:t>
      </w:r>
      <w:r>
        <w:rPr>
          <w:rFonts w:eastAsia="Times New Roman" w:cs="Times New Roman"/>
          <w:bCs/>
          <w:szCs w:val="20"/>
          <w:lang w:eastAsia="pl-PL"/>
        </w:rPr>
        <w:t xml:space="preserve"> Rozporządzenie to zostało opublikowane w dniu </w:t>
      </w:r>
      <w:r w:rsidR="0029028A">
        <w:rPr>
          <w:rFonts w:eastAsia="Times New Roman" w:cs="Times New Roman"/>
          <w:bCs/>
          <w:szCs w:val="20"/>
          <w:lang w:eastAsia="pl-PL"/>
        </w:rPr>
        <w:t>5</w:t>
      </w:r>
      <w:r>
        <w:rPr>
          <w:rFonts w:eastAsia="Times New Roman" w:cs="Times New Roman"/>
          <w:bCs/>
          <w:szCs w:val="20"/>
          <w:lang w:eastAsia="pl-PL"/>
        </w:rPr>
        <w:t xml:space="preserve"> </w:t>
      </w:r>
      <w:r w:rsidR="0029028A">
        <w:rPr>
          <w:rFonts w:eastAsia="Times New Roman" w:cs="Times New Roman"/>
          <w:bCs/>
          <w:szCs w:val="20"/>
          <w:lang w:eastAsia="pl-PL"/>
        </w:rPr>
        <w:t>września</w:t>
      </w:r>
      <w:r>
        <w:rPr>
          <w:rFonts w:eastAsia="Times New Roman" w:cs="Times New Roman"/>
          <w:bCs/>
          <w:szCs w:val="20"/>
          <w:lang w:eastAsia="pl-PL"/>
        </w:rPr>
        <w:t xml:space="preserve"> 201</w:t>
      </w:r>
      <w:r w:rsidR="0029028A">
        <w:rPr>
          <w:rFonts w:eastAsia="Times New Roman" w:cs="Times New Roman"/>
          <w:bCs/>
          <w:szCs w:val="20"/>
          <w:lang w:eastAsia="pl-PL"/>
        </w:rPr>
        <w:t>2</w:t>
      </w:r>
      <w:r>
        <w:rPr>
          <w:rFonts w:eastAsia="Times New Roman" w:cs="Times New Roman"/>
          <w:bCs/>
          <w:szCs w:val="20"/>
          <w:lang w:eastAsia="pl-PL"/>
        </w:rPr>
        <w:t xml:space="preserve"> r. w Dzienniku Ustawy pod pozycją </w:t>
      </w:r>
      <w:r w:rsidR="0029028A">
        <w:rPr>
          <w:rFonts w:eastAsia="Times New Roman" w:cs="Times New Roman"/>
          <w:bCs/>
          <w:szCs w:val="20"/>
          <w:lang w:eastAsia="pl-PL"/>
        </w:rPr>
        <w:t>995</w:t>
      </w:r>
      <w:r>
        <w:rPr>
          <w:rFonts w:eastAsia="Times New Roman" w:cs="Times New Roman"/>
          <w:bCs/>
          <w:szCs w:val="20"/>
          <w:lang w:eastAsia="pl-PL"/>
        </w:rPr>
        <w:t xml:space="preserve">. </w:t>
      </w:r>
    </w:p>
    <w:p w:rsidR="0088278B" w:rsidRDefault="0088278B" w:rsidP="0088278B">
      <w:pPr>
        <w:ind w:firstLine="708"/>
        <w:jc w:val="both"/>
        <w:rPr>
          <w:rFonts w:eastAsia="Times New Roman" w:cs="Times New Roman"/>
          <w:bCs/>
          <w:szCs w:val="20"/>
          <w:lang w:eastAsia="pl-PL"/>
        </w:rPr>
      </w:pPr>
      <w:r>
        <w:rPr>
          <w:rFonts w:eastAsia="Times New Roman" w:cs="Times New Roman"/>
          <w:bCs/>
          <w:szCs w:val="20"/>
          <w:lang w:eastAsia="pl-PL"/>
        </w:rPr>
        <w:t xml:space="preserve">Rozporządzenie to, na podstawie upoważnienia określonego w </w:t>
      </w:r>
      <w:r w:rsidRPr="006C7337">
        <w:rPr>
          <w:rFonts w:cs="Times New Roman"/>
          <w:color w:val="000000"/>
          <w:szCs w:val="24"/>
        </w:rPr>
        <w:t xml:space="preserve">art. 66 ust. 1 pkt 1–5, 7 i 8 </w:t>
      </w:r>
      <w:r>
        <w:rPr>
          <w:rFonts w:eastAsia="Times New Roman" w:cs="Times New Roman"/>
          <w:bCs/>
          <w:szCs w:val="20"/>
          <w:lang w:eastAsia="pl-PL"/>
        </w:rPr>
        <w:t>ustawy z dnia 5 stycznia 2011 r. o kierujących pojazdami, określiło między innymi sposób obiegu dokumentów w procesie uzyskiwania uprawnień do kierowania pojazdami, a w szczególności sposób obiegu dokumentów osób ubiegających się o te uprawnienia w wojewódzkim ośrodku ruchu drogowego. W początkowej wersji projektu przedmiotowego rozporządzenia zaproponowano dwie równoległe metody obsługi kandydatów na kierowców w procesie ubiegania się o uprawnienia do kierowania pojazdami, metodę papierową opartą na drukowanym profilu kandydata na kierowcę, oraz metodę elektroniczną opartą na elektronicznym profilu kandydata na kierowcę. Podczas prac legislacyjnych nad przygotowanym rozporządzeniem, mając na względzie uwagi zgłaszane przez poszczególne resorty, oraz decyzje podjęte na komisji prawniczej w Rządowym Centrum Legislacji postanowiono, że przedmiotowy obieg dokumentów będzie obiegiem wyłącznie elektronicznym opartym na wykorzystaniu systemów teleinformatycznych stosowanych przez organy wydające prawa jazdy oraz systemu teleinformatycznego wojewódzkiego ośrodka ruchu drogowego.</w:t>
      </w:r>
    </w:p>
    <w:p w:rsidR="00CA0A3E" w:rsidRDefault="00CA0A3E" w:rsidP="00CA0A3E">
      <w:pPr>
        <w:ind w:firstLine="708"/>
        <w:jc w:val="both"/>
        <w:rPr>
          <w:rFonts w:eastAsia="Times New Roman" w:cs="Times New Roman"/>
          <w:bCs/>
          <w:szCs w:val="20"/>
          <w:lang w:eastAsia="pl-PL"/>
        </w:rPr>
      </w:pPr>
      <w:r>
        <w:rPr>
          <w:szCs w:val="24"/>
        </w:rPr>
        <w:t>Zgodnie z przyjętym rozwiązaniem osoba, która podejmie decyzje o rozpoczęciu szkolenia może złożyć wniosek o wydanie prawa jazdy drogą elektroniczną załączając do niego niezbędne dokumenty. Starosta na podstawie takiego wniosku, po dokonaniu weryfikacji dokumentów, generuje w systemie teleinformatycznym profil kandydata na kierowcę. W przypadku niespełnienia wymagań ustawowych do rozpoczęcia szkolenia albo niespełnienia wymagań ustawowych do wydania uprawnień dla osób niepodlegających procesowi szkolenia, profil nie jest generowany. Ośrodek szkolenia kierowców, przed rozpoczęciem szkolenia, pobiera wygenerowany wcześniej profil kandydata na kierowcę z systemu teleinformatycznego, a po zakończeniu szkolenia aktualizuje go w zakresie zaświadczenia o ukończeniu szkolenia. Tak przygotowany elektroniczny profil kandydata na kierowcę umożliwia przeprowadzenie egzaminu na prawo jazdy. Po zdanym egzaminie ośrodek egzaminowania uzupełnia w systemie teleinformatycznym profil kandydata na kierowcę o dane dotyczące wyniku egzaminu państwowego. Na podstawie wszystkich otrzymanych za pośrednictwem systemu teleinformatycznego danych organ wydający uprawnienia do kierowania pojazdami nadaje uprawnienia do kierowania pojazdami, a następnie zamawia prawo jazdy u producenta tych dokumentów.</w:t>
      </w:r>
    </w:p>
    <w:p w:rsidR="00CA0A3E" w:rsidRDefault="00CA0A3E" w:rsidP="00CA0A3E">
      <w:pPr>
        <w:ind w:firstLine="708"/>
        <w:jc w:val="both"/>
        <w:rPr>
          <w:rFonts w:eastAsia="Times New Roman" w:cs="Times New Roman"/>
          <w:bCs/>
          <w:szCs w:val="20"/>
          <w:lang w:eastAsia="pl-PL"/>
        </w:rPr>
      </w:pPr>
      <w:r>
        <w:rPr>
          <w:rFonts w:eastAsia="Times New Roman" w:cs="Times New Roman"/>
          <w:bCs/>
          <w:szCs w:val="20"/>
          <w:lang w:eastAsia="pl-PL"/>
        </w:rPr>
        <w:t>Przy tworzeniu procedury nie uwzględniono trybu postępowania z osobami egzaminowanymi w przypadku awarii systemu teleinformatycznego uniemożliwiającej łączność pomiędzy ww. systemami teleinformatycznymi. Taka awaria, w zależności od jej wielkości, może skutkować brakiem obsługi kandydatów na kierowców w wojewódzkich ośrodkach ruchu drogowego, w zakresie zapisu na egzamin, przystąpienia do egzaminu oraz przesłania informacji o zdanym egzaminie państwowym do właściwego organu wydającego prawo jazdy.</w:t>
      </w:r>
    </w:p>
    <w:p w:rsidR="00CA0A3E" w:rsidRDefault="00CA0A3E" w:rsidP="00CA0A3E">
      <w:pPr>
        <w:ind w:firstLine="708"/>
        <w:jc w:val="both"/>
        <w:rPr>
          <w:rFonts w:eastAsia="Times New Roman" w:cs="Times New Roman"/>
          <w:bCs/>
          <w:szCs w:val="20"/>
          <w:lang w:eastAsia="pl-PL"/>
        </w:rPr>
      </w:pPr>
      <w:r>
        <w:rPr>
          <w:rFonts w:eastAsia="Times New Roman" w:cs="Times New Roman"/>
          <w:bCs/>
          <w:szCs w:val="20"/>
          <w:lang w:eastAsia="pl-PL"/>
        </w:rPr>
        <w:t xml:space="preserve">Biorąc pod uwagę konieczność zapewnienia ciągłości obsługi osób ubiegających się o uprawnienia do kierowania pojazdami, które niejednokrotnie muszą daleko dojeżdżać do ośrodków egzaminowania, w przedmiotowym projekcie rozporządzenia oraz w projekcie rozporządzenia zmieniającego </w:t>
      </w:r>
      <w:r w:rsidR="0088278B">
        <w:rPr>
          <w:rFonts w:eastAsia="Times New Roman" w:cs="Times New Roman"/>
          <w:bCs/>
          <w:szCs w:val="20"/>
          <w:lang w:eastAsia="pl-PL"/>
        </w:rPr>
        <w:t>r</w:t>
      </w:r>
      <w:r w:rsidR="0088278B" w:rsidRPr="002E0C74">
        <w:rPr>
          <w:rFonts w:cs="Times New Roman"/>
          <w:szCs w:val="24"/>
        </w:rPr>
        <w:t>ozporządzeni</w:t>
      </w:r>
      <w:r w:rsidR="0088278B">
        <w:rPr>
          <w:rFonts w:cs="Times New Roman"/>
          <w:szCs w:val="24"/>
        </w:rPr>
        <w:t>e</w:t>
      </w:r>
      <w:r w:rsidR="0088278B" w:rsidRPr="002E0C74">
        <w:rPr>
          <w:rFonts w:cs="Times New Roman"/>
          <w:szCs w:val="24"/>
        </w:rPr>
        <w:t xml:space="preserve"> Ministra, Transportu, Budownictwa i Gospodarki Morskiej z dnia 31 lipca 2012 r. w sprawie wydawania dokumentów </w:t>
      </w:r>
      <w:r w:rsidR="0088278B" w:rsidRPr="002E0C74">
        <w:rPr>
          <w:rFonts w:cs="Times New Roman"/>
          <w:szCs w:val="24"/>
        </w:rPr>
        <w:lastRenderedPageBreak/>
        <w:t xml:space="preserve">stwierdzających uprawnienia do kierowania pojazdami </w:t>
      </w:r>
      <w:r w:rsidR="0088278B">
        <w:rPr>
          <w:rFonts w:cs="Times New Roman"/>
          <w:szCs w:val="24"/>
        </w:rPr>
        <w:t xml:space="preserve">(Dz. U. poz. 1005) </w:t>
      </w:r>
      <w:r>
        <w:t>procedowanego jednocześnie</w:t>
      </w:r>
      <w:r>
        <w:rPr>
          <w:rFonts w:eastAsia="Times New Roman" w:cs="Times New Roman"/>
          <w:bCs/>
          <w:szCs w:val="20"/>
          <w:lang w:eastAsia="pl-PL"/>
        </w:rPr>
        <w:t xml:space="preserve"> zaproponowano zastosowanie procedury awaryjnego postępowania w przypadku gdy zaistnieje awaria systemu teleinformatycznego wojewódzkiego ośrodka ruchu drogowego.</w:t>
      </w:r>
    </w:p>
    <w:p w:rsidR="00CA0A3E" w:rsidRDefault="00CA0A3E" w:rsidP="00CA0A3E">
      <w:pPr>
        <w:ind w:firstLine="708"/>
        <w:jc w:val="both"/>
        <w:rPr>
          <w:rFonts w:eastAsia="Times New Roman" w:cs="Times New Roman"/>
          <w:bCs/>
          <w:szCs w:val="20"/>
          <w:lang w:eastAsia="pl-PL"/>
        </w:rPr>
      </w:pPr>
      <w:r>
        <w:rPr>
          <w:rFonts w:eastAsia="Times New Roman" w:cs="Times New Roman"/>
          <w:bCs/>
          <w:szCs w:val="20"/>
          <w:lang w:eastAsia="pl-PL"/>
        </w:rPr>
        <w:t>W celu zapewnienia, że do egzaminu podchodzi osoba spełniająca wszystkie wymagania wynikające z przepisów ustawy z dnia 5 stycznia 2011 r. o kierujących pojazdami, w momencie zapisu na egzamin osoba ta musi potwierdzić w formie oświadczenia, że spełnia te wymagania. Dodatkowo w celu zapewnienia, że osoba egzaminowana może przystąpić do egzaminu WORD musi dokonać sprawdzenia czy ta sama osoba nie przystępuje do egzaminu w innym WORD. Sprawdzenie to dokonuje się poprzez kontakt ze starostwem, które wygenerowało profil kandydata na kierowcę. W celu zapewnienia właściwego postępowania w dalszej procedurze uzyskiwania uprawnień starosta dokona zablokowania profilu kandydata na kierowcę dla danej osoby w konkretnym WORD. Określono także procedurę postępowania przy przesyłaniu informacji do właściwego starosty.</w:t>
      </w:r>
    </w:p>
    <w:p w:rsidR="009C4CE5" w:rsidRDefault="009C4CE5" w:rsidP="00391247">
      <w:pPr>
        <w:ind w:firstLine="708"/>
        <w:jc w:val="both"/>
        <w:rPr>
          <w:rFonts w:eastAsia="Times New Roman" w:cs="Times New Roman"/>
          <w:bCs/>
          <w:szCs w:val="20"/>
          <w:lang w:eastAsia="pl-PL"/>
        </w:rPr>
      </w:pPr>
      <w:r>
        <w:rPr>
          <w:rFonts w:eastAsia="Times New Roman" w:cs="Times New Roman"/>
          <w:bCs/>
          <w:szCs w:val="20"/>
          <w:lang w:eastAsia="pl-PL"/>
        </w:rPr>
        <w:t>Przy tworzeniu procedury nie uwzględniono trybu postępowania z osobami egzaminowanymi w przypadku awarii systemu teleinformatycznego uniemożliwiającej łączność pomiędzy ww. systemami teleinformatycznymi. Taka awaria, w zależności od jej wielkości, może skutkować brakiem obsługi kandydatów na kierowców w wojewódzkich ośrodkach ruchu drogowego, w zakresie zapisu na egzamin, przystąpienia do egzaminu oraz przesłania informacji o zdanym egzaminie państwowym do właściwego organu wydającego prawo jazdy.</w:t>
      </w:r>
    </w:p>
    <w:p w:rsidR="009C4CE5" w:rsidRDefault="009C4CE5" w:rsidP="00391247">
      <w:pPr>
        <w:ind w:firstLine="708"/>
        <w:jc w:val="both"/>
        <w:rPr>
          <w:rFonts w:eastAsia="Times New Roman" w:cs="Times New Roman"/>
          <w:bCs/>
          <w:szCs w:val="20"/>
          <w:lang w:eastAsia="pl-PL"/>
        </w:rPr>
      </w:pPr>
      <w:r>
        <w:rPr>
          <w:rFonts w:eastAsia="Times New Roman" w:cs="Times New Roman"/>
          <w:bCs/>
          <w:szCs w:val="20"/>
          <w:lang w:eastAsia="pl-PL"/>
        </w:rPr>
        <w:t>Biorąc pod uwagę konieczność zapewnienia ciągłości obsługi osób ubiegających się o uprawnienia do kierowania pojazdami, które niejednokrotnie muszą daleko dojeżdżać do ośrodków egzaminowania, w przedmiotowym rozporządzeniu zaproponowano zastosowanie procedury awaryjnego postępowania w przypadku jeżeli zaistnieje awaria systemu teleinformatycznego wojewódzkiego ośrodka ruchu drogowego.</w:t>
      </w:r>
    </w:p>
    <w:p w:rsidR="00615901" w:rsidRDefault="009C4CE5" w:rsidP="00391247">
      <w:pPr>
        <w:ind w:firstLine="708"/>
        <w:jc w:val="both"/>
        <w:rPr>
          <w:rFonts w:eastAsia="Times New Roman" w:cs="Times New Roman"/>
          <w:bCs/>
          <w:szCs w:val="20"/>
          <w:lang w:eastAsia="pl-PL"/>
        </w:rPr>
      </w:pPr>
      <w:r>
        <w:rPr>
          <w:rFonts w:eastAsia="Times New Roman" w:cs="Times New Roman"/>
          <w:bCs/>
          <w:szCs w:val="20"/>
          <w:lang w:eastAsia="pl-PL"/>
        </w:rPr>
        <w:t>W celu zapewnienia, że do egzaminu podchodzi osoba spełniająca wszystkie wymagania wynikające z przepisów ustawy o kierujących pojazdami, w momencie zapisu na egzamin osoba ta musi potwierdzić w formie oświadczenia, że spełnia te wymagania</w:t>
      </w:r>
      <w:r w:rsidR="00615901">
        <w:rPr>
          <w:rFonts w:eastAsia="Times New Roman" w:cs="Times New Roman"/>
          <w:bCs/>
          <w:szCs w:val="20"/>
          <w:lang w:eastAsia="pl-PL"/>
        </w:rPr>
        <w:t>. Dodatkowo w celu zapewnienia, że osoba egzaminowana może przystąpić do egzaminu WORD musi dokonać sprawdzenia cze ta sama osoba nie przystępuje do egzaminu w innym WORD. Sprawdzenie to dokonuje się poprzez kontakt ze starostwem, które wygenerowało profil kandydata na kierowcę. W celu zapewnienia właściwego postępowania w dalszej procedurze uzyskiwania uprawnień Starost dokona zablokowania profilu kandydata na kierowcę dla danej osoby w konkretnym WORD. Określono także procedurę postępowania przy przesyłaniu informacji do właściwego starosty.</w:t>
      </w:r>
    </w:p>
    <w:p w:rsidR="00615901" w:rsidRDefault="00615901" w:rsidP="00391247">
      <w:pPr>
        <w:ind w:firstLine="708"/>
        <w:jc w:val="both"/>
        <w:rPr>
          <w:rFonts w:eastAsia="Times New Roman" w:cs="Times New Roman"/>
          <w:bCs/>
          <w:szCs w:val="20"/>
          <w:lang w:eastAsia="pl-PL"/>
        </w:rPr>
      </w:pPr>
      <w:r>
        <w:rPr>
          <w:rFonts w:eastAsia="Times New Roman" w:cs="Times New Roman"/>
          <w:bCs/>
          <w:szCs w:val="20"/>
          <w:lang w:eastAsia="pl-PL"/>
        </w:rPr>
        <w:t>Zastosowanie zaproponowanej procedury gwarantuje osobom egzaminowanym ciągłość zapisów na egzamin oraz przeprowadzania egzaminów państwowych na prawo jazdy pomimo awarii systemu teleinformatycznego.</w:t>
      </w:r>
    </w:p>
    <w:p w:rsidR="009C4CE5" w:rsidRDefault="00615901" w:rsidP="00391247">
      <w:pPr>
        <w:ind w:firstLine="708"/>
        <w:jc w:val="both"/>
        <w:rPr>
          <w:rFonts w:eastAsia="Times New Roman" w:cs="Times New Roman"/>
          <w:bCs/>
          <w:szCs w:val="20"/>
          <w:lang w:eastAsia="pl-PL"/>
        </w:rPr>
      </w:pPr>
      <w:r>
        <w:rPr>
          <w:rFonts w:eastAsia="Times New Roman" w:cs="Times New Roman"/>
          <w:bCs/>
          <w:szCs w:val="20"/>
          <w:lang w:eastAsia="pl-PL"/>
        </w:rPr>
        <w:t xml:space="preserve">Na dyrektora WORD nałożono także obowiązek poinformowania właściwego organu nadzoru o zastosowaniu procedury awaryjnej.  </w:t>
      </w:r>
    </w:p>
    <w:p w:rsidR="00391247" w:rsidRPr="00DF5950" w:rsidRDefault="00391247" w:rsidP="00391247">
      <w:pPr>
        <w:ind w:firstLine="708"/>
        <w:jc w:val="both"/>
        <w:rPr>
          <w:rFonts w:eastAsia="Times New Roman" w:cs="Times New Roman"/>
          <w:bCs/>
          <w:szCs w:val="20"/>
          <w:lang w:eastAsia="pl-PL"/>
        </w:rPr>
      </w:pPr>
      <w:r w:rsidRPr="00DF5950">
        <w:rPr>
          <w:rFonts w:eastAsia="Times New Roman" w:cs="Times New Roman"/>
          <w:bCs/>
          <w:szCs w:val="20"/>
          <w:lang w:eastAsia="pl-PL"/>
        </w:rPr>
        <w:t xml:space="preserve">Projekt aktu normatywnego nie wymaga notyfikacji zgodnie z trybem przewidzianym w przepisach dotyczących sposobu funkcjonowania krajowego systemu notyfikacji norm </w:t>
      </w:r>
      <w:r w:rsidRPr="00DF5950">
        <w:rPr>
          <w:rFonts w:eastAsia="Times New Roman" w:cs="Times New Roman"/>
          <w:bCs/>
          <w:szCs w:val="20"/>
          <w:lang w:eastAsia="pl-PL"/>
        </w:rPr>
        <w:br/>
        <w:t xml:space="preserve">i aktów prawnych. </w:t>
      </w:r>
    </w:p>
    <w:p w:rsidR="00391247" w:rsidRPr="00DF5950" w:rsidRDefault="00391247" w:rsidP="00391247">
      <w:pPr>
        <w:ind w:firstLine="708"/>
        <w:jc w:val="both"/>
        <w:rPr>
          <w:rFonts w:eastAsia="Times New Roman" w:cs="Times New Roman"/>
          <w:bCs/>
          <w:szCs w:val="20"/>
          <w:lang w:eastAsia="pl-PL"/>
        </w:rPr>
      </w:pPr>
      <w:r w:rsidRPr="00DF5950">
        <w:rPr>
          <w:rFonts w:eastAsia="Times New Roman" w:cs="Times New Roman"/>
          <w:bCs/>
          <w:szCs w:val="20"/>
          <w:lang w:eastAsia="pl-PL"/>
        </w:rPr>
        <w:t>Projekt nie podlega konsultacjom, zaopiniowaniu lub uzgodnieniu z właściwymi instytucjami i organami Unii Europejskiej lub Europejskim Bankiem Centralnym.</w:t>
      </w:r>
    </w:p>
    <w:p w:rsidR="00391247" w:rsidRPr="00DF5950" w:rsidRDefault="00391247" w:rsidP="00391247">
      <w:pPr>
        <w:ind w:firstLine="708"/>
        <w:jc w:val="both"/>
        <w:rPr>
          <w:rFonts w:eastAsia="Times New Roman" w:cs="Times New Roman"/>
          <w:bCs/>
          <w:szCs w:val="20"/>
          <w:lang w:eastAsia="pl-PL"/>
        </w:rPr>
      </w:pPr>
      <w:r w:rsidRPr="00DF5950">
        <w:rPr>
          <w:rFonts w:eastAsia="Times New Roman" w:cs="Times New Roman"/>
          <w:bCs/>
          <w:szCs w:val="20"/>
          <w:lang w:eastAsia="pl-PL"/>
        </w:rPr>
        <w:t xml:space="preserve">Projekt rozporządzenia podlega rozpatrzeniu przez Komisję Wspólną Rządu </w:t>
      </w:r>
      <w:r w:rsidRPr="00DF5950">
        <w:rPr>
          <w:rFonts w:eastAsia="Times New Roman" w:cs="Times New Roman"/>
          <w:bCs/>
          <w:szCs w:val="20"/>
          <w:lang w:eastAsia="pl-PL"/>
        </w:rPr>
        <w:br/>
        <w:t xml:space="preserve">i Samorządu Terytorialnego. </w:t>
      </w:r>
    </w:p>
    <w:p w:rsidR="00391247" w:rsidRPr="00DF5950" w:rsidRDefault="00391247" w:rsidP="00391247">
      <w:pPr>
        <w:ind w:firstLine="708"/>
        <w:jc w:val="both"/>
        <w:rPr>
          <w:rFonts w:eastAsia="Times New Roman" w:cs="Times New Roman"/>
          <w:bCs/>
          <w:szCs w:val="20"/>
          <w:lang w:eastAsia="pl-PL"/>
        </w:rPr>
      </w:pPr>
      <w:r w:rsidRPr="00DF5950">
        <w:rPr>
          <w:rFonts w:eastAsia="Times New Roman" w:cs="Times New Roman"/>
          <w:bCs/>
          <w:szCs w:val="20"/>
          <w:lang w:eastAsia="pl-PL"/>
        </w:rPr>
        <w:t>Przepisy rozporządzenia nie są regulowane prawem Unii Europejskiej.</w:t>
      </w:r>
    </w:p>
    <w:p w:rsidR="00391247" w:rsidRPr="00DF5950" w:rsidRDefault="00391247" w:rsidP="00391247">
      <w:pPr>
        <w:ind w:firstLine="708"/>
        <w:jc w:val="both"/>
        <w:rPr>
          <w:rFonts w:eastAsia="Times New Roman" w:cs="Times New Roman"/>
          <w:bCs/>
          <w:szCs w:val="20"/>
          <w:lang w:eastAsia="pl-PL"/>
        </w:rPr>
      </w:pPr>
    </w:p>
    <w:p w:rsidR="00391247" w:rsidRPr="0035545A" w:rsidRDefault="00391247" w:rsidP="00391247">
      <w:pPr>
        <w:rPr>
          <w:rFonts w:eastAsia="Times New Roman" w:cs="Times New Roman"/>
          <w:i/>
          <w:szCs w:val="24"/>
          <w:lang w:eastAsia="pl-PL"/>
        </w:rPr>
      </w:pPr>
    </w:p>
    <w:p w:rsidR="00391247" w:rsidRPr="0035545A" w:rsidRDefault="00391247" w:rsidP="00391247">
      <w:pPr>
        <w:rPr>
          <w:rFonts w:eastAsia="Times New Roman" w:cs="Times New Roman"/>
          <w:i/>
          <w:szCs w:val="24"/>
          <w:lang w:eastAsia="pl-PL"/>
        </w:rPr>
      </w:pPr>
    </w:p>
    <w:p w:rsidR="00391247" w:rsidRDefault="00391247" w:rsidP="00391247">
      <w:pPr>
        <w:rPr>
          <w:rFonts w:eastAsia="Times New Roman" w:cs="Times New Roman"/>
          <w:i/>
          <w:szCs w:val="24"/>
          <w:lang w:eastAsia="pl-PL"/>
        </w:rPr>
      </w:pPr>
    </w:p>
    <w:p w:rsidR="00391247" w:rsidRDefault="00391247" w:rsidP="00391247">
      <w:pPr>
        <w:rPr>
          <w:rFonts w:eastAsia="Times New Roman" w:cs="Times New Roman"/>
          <w:i/>
          <w:szCs w:val="24"/>
          <w:lang w:eastAsia="pl-PL"/>
        </w:rPr>
      </w:pPr>
    </w:p>
    <w:p w:rsidR="00391247" w:rsidRDefault="00391247" w:rsidP="00391247">
      <w:pPr>
        <w:rPr>
          <w:rFonts w:eastAsia="Times New Roman" w:cs="Times New Roman"/>
          <w:i/>
          <w:szCs w:val="24"/>
          <w:lang w:eastAsia="pl-PL"/>
        </w:rPr>
      </w:pPr>
    </w:p>
    <w:p w:rsidR="00391247" w:rsidRPr="0035545A" w:rsidRDefault="00391247" w:rsidP="00391247">
      <w:pPr>
        <w:rPr>
          <w:rFonts w:eastAsia="Times New Roman" w:cs="Times New Roman"/>
          <w:i/>
          <w:szCs w:val="24"/>
          <w:lang w:eastAsia="pl-PL"/>
        </w:rPr>
      </w:pPr>
    </w:p>
    <w:p w:rsidR="00391247" w:rsidRPr="0035545A" w:rsidRDefault="00391247" w:rsidP="00391247">
      <w:pPr>
        <w:rPr>
          <w:rFonts w:eastAsia="Times New Roman" w:cs="Times New Roman"/>
          <w:i/>
          <w:szCs w:val="24"/>
          <w:lang w:eastAsia="pl-PL"/>
        </w:rPr>
      </w:pPr>
    </w:p>
    <w:p w:rsidR="00391247" w:rsidRPr="0035545A" w:rsidRDefault="00391247" w:rsidP="00391247">
      <w:pPr>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88278B" w:rsidRDefault="0088278B"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615901" w:rsidRDefault="00615901"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Default="00391247" w:rsidP="00391247">
      <w:pPr>
        <w:jc w:val="both"/>
        <w:rPr>
          <w:rFonts w:eastAsia="Times New Roman" w:cs="Times New Roman"/>
          <w:i/>
          <w:szCs w:val="24"/>
          <w:lang w:eastAsia="pl-PL"/>
        </w:rPr>
      </w:pPr>
    </w:p>
    <w:p w:rsidR="00391247" w:rsidRPr="0035545A" w:rsidRDefault="00391247" w:rsidP="00391247">
      <w:pPr>
        <w:jc w:val="center"/>
        <w:rPr>
          <w:rFonts w:eastAsia="Times New Roman" w:cs="Times New Roman"/>
          <w:b/>
          <w:szCs w:val="24"/>
          <w:lang w:eastAsia="pl-PL"/>
        </w:rPr>
      </w:pPr>
      <w:r w:rsidRPr="0035545A">
        <w:rPr>
          <w:rFonts w:eastAsia="Times New Roman" w:cs="Times New Roman"/>
          <w:b/>
          <w:szCs w:val="24"/>
          <w:lang w:eastAsia="pl-PL"/>
        </w:rPr>
        <w:lastRenderedPageBreak/>
        <w:t>OCENA SKUTKÓW REGULACJI</w:t>
      </w:r>
    </w:p>
    <w:p w:rsidR="00391247" w:rsidRPr="0035545A" w:rsidRDefault="00391247" w:rsidP="00391247">
      <w:pPr>
        <w:jc w:val="both"/>
        <w:rPr>
          <w:rFonts w:eastAsia="Times New Roman" w:cs="Times New Roman"/>
          <w:szCs w:val="24"/>
          <w:lang w:eastAsia="pl-PL"/>
        </w:rPr>
      </w:pPr>
    </w:p>
    <w:p w:rsidR="00391247" w:rsidRPr="0035545A" w:rsidRDefault="00391247" w:rsidP="00391247">
      <w:pPr>
        <w:keepNext/>
        <w:jc w:val="both"/>
        <w:outlineLvl w:val="0"/>
        <w:rPr>
          <w:rFonts w:eastAsia="Calibri" w:cs="Times New Roman"/>
          <w:b/>
          <w:szCs w:val="24"/>
          <w:lang w:eastAsia="pl-PL"/>
        </w:rPr>
      </w:pPr>
      <w:r w:rsidRPr="0035545A">
        <w:rPr>
          <w:rFonts w:eastAsia="Calibri" w:cs="Times New Roman"/>
          <w:b/>
          <w:szCs w:val="24"/>
          <w:lang w:eastAsia="pl-PL"/>
        </w:rPr>
        <w:t>1. Podmioty na które oddziałuje akt normatywny:</w:t>
      </w:r>
    </w:p>
    <w:p w:rsidR="00615901" w:rsidRDefault="00615901" w:rsidP="00615901">
      <w:pPr>
        <w:pStyle w:val="Akapitzlist"/>
        <w:numPr>
          <w:ilvl w:val="0"/>
          <w:numId w:val="16"/>
        </w:numPr>
        <w:jc w:val="both"/>
        <w:rPr>
          <w:rFonts w:eastAsia="Times New Roman" w:cs="Times New Roman"/>
          <w:szCs w:val="24"/>
          <w:lang w:eastAsia="pl-PL"/>
        </w:rPr>
      </w:pPr>
      <w:r>
        <w:rPr>
          <w:rFonts w:eastAsia="Times New Roman" w:cs="Times New Roman"/>
          <w:szCs w:val="24"/>
          <w:lang w:eastAsia="pl-PL"/>
        </w:rPr>
        <w:t>osoby ubiegające się o uzyskanie uprawnienia do kierowania pojazdami,</w:t>
      </w:r>
    </w:p>
    <w:p w:rsidR="00615901" w:rsidRDefault="00615901" w:rsidP="00615901">
      <w:pPr>
        <w:pStyle w:val="Akapitzlist"/>
        <w:numPr>
          <w:ilvl w:val="0"/>
          <w:numId w:val="16"/>
        </w:numPr>
        <w:jc w:val="both"/>
        <w:rPr>
          <w:rFonts w:eastAsia="Times New Roman" w:cs="Times New Roman"/>
          <w:szCs w:val="24"/>
          <w:lang w:eastAsia="pl-PL"/>
        </w:rPr>
      </w:pPr>
      <w:r w:rsidRPr="00615901">
        <w:rPr>
          <w:rFonts w:eastAsia="Times New Roman" w:cs="Times New Roman"/>
          <w:szCs w:val="24"/>
          <w:lang w:eastAsia="pl-PL"/>
        </w:rPr>
        <w:t>wojewódzkie ośrodki ruchu drogowego,</w:t>
      </w:r>
    </w:p>
    <w:p w:rsidR="00615901" w:rsidRDefault="00615901" w:rsidP="00615901">
      <w:pPr>
        <w:pStyle w:val="Akapitzlist"/>
        <w:numPr>
          <w:ilvl w:val="0"/>
          <w:numId w:val="16"/>
        </w:numPr>
        <w:jc w:val="both"/>
        <w:rPr>
          <w:rFonts w:eastAsia="Times New Roman" w:cs="Times New Roman"/>
          <w:szCs w:val="24"/>
          <w:lang w:eastAsia="pl-PL"/>
        </w:rPr>
      </w:pPr>
      <w:r>
        <w:rPr>
          <w:rFonts w:eastAsia="Times New Roman" w:cs="Times New Roman"/>
          <w:szCs w:val="24"/>
          <w:lang w:eastAsia="pl-PL"/>
        </w:rPr>
        <w:t xml:space="preserve">organy wydające </w:t>
      </w:r>
      <w:r w:rsidR="0088278B">
        <w:rPr>
          <w:rFonts w:eastAsia="Times New Roman" w:cs="Times New Roman"/>
          <w:szCs w:val="24"/>
          <w:lang w:eastAsia="pl-PL"/>
        </w:rPr>
        <w:t>uprawnienia do kierowania pojazdami</w:t>
      </w:r>
      <w:r>
        <w:rPr>
          <w:rFonts w:eastAsia="Times New Roman" w:cs="Times New Roman"/>
          <w:szCs w:val="24"/>
          <w:lang w:eastAsia="pl-PL"/>
        </w:rPr>
        <w:t>,</w:t>
      </w:r>
    </w:p>
    <w:p w:rsidR="00615901" w:rsidRPr="00615901" w:rsidRDefault="00615901" w:rsidP="00615901">
      <w:pPr>
        <w:pStyle w:val="Akapitzlist"/>
        <w:numPr>
          <w:ilvl w:val="0"/>
          <w:numId w:val="16"/>
        </w:numPr>
        <w:jc w:val="both"/>
        <w:rPr>
          <w:rFonts w:eastAsia="Times New Roman" w:cs="Times New Roman"/>
          <w:szCs w:val="24"/>
          <w:lang w:eastAsia="pl-PL"/>
        </w:rPr>
      </w:pPr>
      <w:r>
        <w:rPr>
          <w:rFonts w:eastAsia="Times New Roman" w:cs="Times New Roman"/>
          <w:szCs w:val="24"/>
          <w:lang w:eastAsia="pl-PL"/>
        </w:rPr>
        <w:t>urzędy marszałkowskie</w:t>
      </w:r>
    </w:p>
    <w:p w:rsidR="00615901" w:rsidRDefault="00615901" w:rsidP="00391247">
      <w:pPr>
        <w:jc w:val="both"/>
        <w:rPr>
          <w:rFonts w:eastAsia="Times New Roman" w:cs="Times New Roman"/>
          <w:b/>
          <w:szCs w:val="24"/>
          <w:lang w:eastAsia="pl-PL"/>
        </w:rPr>
      </w:pPr>
    </w:p>
    <w:p w:rsidR="00391247" w:rsidRPr="0035545A" w:rsidRDefault="00391247" w:rsidP="00391247">
      <w:pPr>
        <w:jc w:val="both"/>
        <w:rPr>
          <w:rFonts w:eastAsia="Times New Roman" w:cs="Times New Roman"/>
          <w:b/>
          <w:szCs w:val="24"/>
          <w:lang w:eastAsia="pl-PL"/>
        </w:rPr>
      </w:pPr>
      <w:r w:rsidRPr="0035545A">
        <w:rPr>
          <w:rFonts w:eastAsia="Times New Roman" w:cs="Times New Roman"/>
          <w:b/>
          <w:szCs w:val="24"/>
          <w:lang w:eastAsia="pl-PL"/>
        </w:rPr>
        <w:t>2. Konsultacje społeczne:</w:t>
      </w:r>
    </w:p>
    <w:p w:rsidR="00391247" w:rsidRDefault="00391247" w:rsidP="00391247">
      <w:pPr>
        <w:keepNext/>
        <w:jc w:val="both"/>
        <w:outlineLvl w:val="0"/>
        <w:rPr>
          <w:rFonts w:eastAsia="Calibri" w:cs="Times New Roman"/>
          <w:b/>
          <w:szCs w:val="24"/>
          <w:lang w:eastAsia="pl-PL"/>
        </w:rPr>
      </w:pPr>
    </w:p>
    <w:p w:rsidR="00391247" w:rsidRDefault="00615901" w:rsidP="00391247">
      <w:pPr>
        <w:keepNext/>
        <w:jc w:val="both"/>
        <w:outlineLvl w:val="0"/>
        <w:rPr>
          <w:rFonts w:eastAsia="Calibri" w:cs="Times New Roman"/>
          <w:szCs w:val="24"/>
          <w:lang w:eastAsia="pl-PL"/>
        </w:rPr>
      </w:pPr>
      <w:r w:rsidRPr="00615901">
        <w:rPr>
          <w:rFonts w:eastAsia="Calibri" w:cs="Times New Roman"/>
          <w:szCs w:val="24"/>
          <w:lang w:eastAsia="pl-PL"/>
        </w:rPr>
        <w:t xml:space="preserve">Rozporządzenie </w:t>
      </w:r>
      <w:r>
        <w:rPr>
          <w:rFonts w:eastAsia="Calibri" w:cs="Times New Roman"/>
          <w:szCs w:val="24"/>
          <w:lang w:eastAsia="pl-PL"/>
        </w:rPr>
        <w:t>zostanie przekazane do konsultacji społecznych następującym organizacjom społecznym:</w:t>
      </w:r>
    </w:p>
    <w:p w:rsidR="00615901" w:rsidRDefault="00615901" w:rsidP="00391247">
      <w:pPr>
        <w:keepNext/>
        <w:jc w:val="both"/>
        <w:outlineLvl w:val="0"/>
        <w:rPr>
          <w:rFonts w:eastAsia="Calibri" w:cs="Times New Roman"/>
          <w:szCs w:val="24"/>
          <w:lang w:eastAsia="pl-PL"/>
        </w:rPr>
      </w:pPr>
    </w:p>
    <w:p w:rsidR="00615901" w:rsidRPr="00DA36C8" w:rsidRDefault="00615901" w:rsidP="00DA36C8">
      <w:pPr>
        <w:pStyle w:val="Akapitzlist"/>
        <w:keepNext/>
        <w:numPr>
          <w:ilvl w:val="0"/>
          <w:numId w:val="18"/>
        </w:numPr>
        <w:jc w:val="both"/>
        <w:outlineLvl w:val="0"/>
        <w:rPr>
          <w:rFonts w:eastAsia="Calibri" w:cs="Times New Roman"/>
          <w:szCs w:val="24"/>
          <w:lang w:eastAsia="pl-PL"/>
        </w:rPr>
      </w:pPr>
      <w:r w:rsidRPr="00DA36C8">
        <w:rPr>
          <w:rFonts w:eastAsia="Calibri" w:cs="Times New Roman"/>
          <w:szCs w:val="24"/>
          <w:lang w:eastAsia="pl-PL"/>
        </w:rPr>
        <w:t xml:space="preserve">Ogólnopolskie Stowarzyszenie Szefów Wydziałów Komunikacji, ul. Jackowskiego 18/20 60-509 Poznań </w:t>
      </w:r>
    </w:p>
    <w:p w:rsidR="00615901" w:rsidRPr="00B007DC" w:rsidRDefault="00615901" w:rsidP="00DA36C8">
      <w:pPr>
        <w:pStyle w:val="Akapitzlist"/>
        <w:keepNext/>
        <w:numPr>
          <w:ilvl w:val="0"/>
          <w:numId w:val="18"/>
        </w:numPr>
        <w:jc w:val="both"/>
        <w:outlineLvl w:val="0"/>
        <w:rPr>
          <w:rFonts w:eastAsia="Calibri" w:cs="Times New Roman"/>
          <w:szCs w:val="24"/>
          <w:lang w:eastAsia="pl-PL"/>
        </w:rPr>
      </w:pPr>
      <w:r w:rsidRPr="00B007DC">
        <w:rPr>
          <w:rFonts w:eastAsia="Calibri" w:cs="Times New Roman"/>
          <w:szCs w:val="24"/>
          <w:lang w:eastAsia="pl-PL"/>
        </w:rPr>
        <w:t>Krajowe Stowarzyszenie Dyrektorów Wojewódzkich Ośrodków Ruchu Drogowego, ul. Odlewnicza  8, 03-231 Warszawa</w:t>
      </w:r>
    </w:p>
    <w:p w:rsidR="00615901" w:rsidRPr="00B007DC" w:rsidRDefault="00615901" w:rsidP="00DA36C8">
      <w:pPr>
        <w:pStyle w:val="Akapitzlist"/>
        <w:keepNext/>
        <w:numPr>
          <w:ilvl w:val="0"/>
          <w:numId w:val="18"/>
        </w:numPr>
        <w:jc w:val="both"/>
        <w:outlineLvl w:val="0"/>
        <w:rPr>
          <w:rFonts w:eastAsia="Calibri" w:cs="Times New Roman"/>
          <w:szCs w:val="24"/>
          <w:lang w:eastAsia="pl-PL"/>
        </w:rPr>
      </w:pPr>
      <w:r w:rsidRPr="00B007DC">
        <w:rPr>
          <w:rFonts w:eastAsia="Calibri" w:cs="Times New Roman"/>
          <w:szCs w:val="24"/>
          <w:lang w:eastAsia="pl-PL"/>
        </w:rPr>
        <w:t xml:space="preserve">Polska Federacja Stowarzyszeń Szkół Kierowców, ul. Jagiellońska 80, Warszawa, </w:t>
      </w:r>
      <w:r w:rsidRPr="00B007DC">
        <w:rPr>
          <w:rFonts w:eastAsia="Calibri" w:cs="Times New Roman"/>
          <w:szCs w:val="24"/>
          <w:lang w:eastAsia="pl-PL"/>
        </w:rPr>
        <w:br/>
        <w:t>adres korespondencyjny: OSK AUTO-BIS, ul. św. Antoniego 55, 97-200 Tomaszów Mazowiecki;</w:t>
      </w:r>
    </w:p>
    <w:p w:rsidR="00615901" w:rsidRPr="00B007DC" w:rsidRDefault="00615901" w:rsidP="00DA36C8">
      <w:pPr>
        <w:pStyle w:val="Akapitzlist"/>
        <w:keepNext/>
        <w:numPr>
          <w:ilvl w:val="0"/>
          <w:numId w:val="18"/>
        </w:numPr>
        <w:jc w:val="both"/>
        <w:outlineLvl w:val="0"/>
        <w:rPr>
          <w:rFonts w:eastAsia="Calibri" w:cs="Times New Roman"/>
          <w:szCs w:val="24"/>
          <w:lang w:eastAsia="pl-PL"/>
        </w:rPr>
      </w:pPr>
      <w:r w:rsidRPr="00B007DC">
        <w:rPr>
          <w:rFonts w:eastAsia="Calibri" w:cs="Times New Roman"/>
          <w:szCs w:val="24"/>
          <w:lang w:eastAsia="pl-PL"/>
        </w:rPr>
        <w:t>Polska Izba Gospodarcza Ośrodków Szkolenia Kierowców, ul. Piotra Skargi 1, 05-820 Piastów;</w:t>
      </w:r>
    </w:p>
    <w:p w:rsidR="00615901" w:rsidRPr="00B007DC" w:rsidRDefault="00615901" w:rsidP="00DA36C8">
      <w:pPr>
        <w:pStyle w:val="Akapitzlist"/>
        <w:keepNext/>
        <w:numPr>
          <w:ilvl w:val="0"/>
          <w:numId w:val="18"/>
        </w:numPr>
        <w:jc w:val="both"/>
        <w:outlineLvl w:val="0"/>
        <w:rPr>
          <w:rFonts w:eastAsia="Calibri" w:cs="Times New Roman"/>
          <w:szCs w:val="24"/>
          <w:lang w:eastAsia="pl-PL"/>
        </w:rPr>
      </w:pPr>
      <w:r w:rsidRPr="00B007DC">
        <w:rPr>
          <w:rFonts w:eastAsia="Calibri" w:cs="Times New Roman"/>
          <w:szCs w:val="24"/>
          <w:lang w:eastAsia="pl-PL"/>
        </w:rPr>
        <w:t>Ogólnopolska Izba Gospodarcza Ośrodków Szkolenia Kierowców, ul. Bohaterów Warszawy 2/5, 75-211 Koszalin;</w:t>
      </w:r>
    </w:p>
    <w:p w:rsidR="00615901" w:rsidRPr="00615901" w:rsidRDefault="00615901" w:rsidP="00391247">
      <w:pPr>
        <w:keepNext/>
        <w:jc w:val="both"/>
        <w:outlineLvl w:val="0"/>
        <w:rPr>
          <w:rFonts w:eastAsia="Calibri" w:cs="Times New Roman"/>
          <w:szCs w:val="24"/>
          <w:lang w:eastAsia="pl-PL"/>
        </w:rPr>
      </w:pPr>
    </w:p>
    <w:p w:rsidR="00391247" w:rsidRPr="0035545A" w:rsidRDefault="00391247" w:rsidP="00391247">
      <w:pPr>
        <w:keepNext/>
        <w:jc w:val="both"/>
        <w:outlineLvl w:val="0"/>
        <w:rPr>
          <w:rFonts w:eastAsia="Calibri" w:cs="Times New Roman"/>
          <w:b/>
          <w:szCs w:val="24"/>
          <w:lang w:eastAsia="pl-PL"/>
        </w:rPr>
      </w:pPr>
      <w:r w:rsidRPr="0035545A">
        <w:rPr>
          <w:rFonts w:eastAsia="Calibri" w:cs="Times New Roman"/>
          <w:b/>
          <w:szCs w:val="24"/>
          <w:lang w:eastAsia="pl-PL"/>
        </w:rPr>
        <w:t>3. Wpływ regulacji na sektor finansów publicznych, w tym budżet państwa i budżet samorządu terytorialnego</w:t>
      </w:r>
    </w:p>
    <w:p w:rsidR="00391247" w:rsidRDefault="00391247" w:rsidP="00391247">
      <w:pPr>
        <w:keepNext/>
        <w:jc w:val="both"/>
        <w:outlineLvl w:val="0"/>
        <w:rPr>
          <w:rFonts w:eastAsia="Calibri" w:cs="Times New Roman"/>
          <w:szCs w:val="24"/>
          <w:lang w:eastAsia="pl-PL"/>
        </w:rPr>
      </w:pPr>
    </w:p>
    <w:p w:rsidR="00DA36C8" w:rsidRPr="0035545A" w:rsidRDefault="00DA36C8" w:rsidP="00DA36C8">
      <w:pPr>
        <w:jc w:val="both"/>
        <w:rPr>
          <w:rFonts w:eastAsia="Times New Roman" w:cs="Times New Roman"/>
          <w:szCs w:val="24"/>
          <w:lang w:eastAsia="pl-PL"/>
        </w:rPr>
      </w:pPr>
      <w:r w:rsidRPr="0035545A">
        <w:rPr>
          <w:rFonts w:eastAsia="Times New Roman" w:cs="Times New Roman"/>
          <w:szCs w:val="24"/>
          <w:lang w:eastAsia="pl-PL"/>
        </w:rPr>
        <w:t xml:space="preserve">Proponowana regulacja nie wpływa </w:t>
      </w:r>
      <w:r w:rsidRPr="00DA36C8">
        <w:rPr>
          <w:rFonts w:eastAsia="Times New Roman" w:cs="Times New Roman"/>
          <w:szCs w:val="24"/>
          <w:lang w:eastAsia="pl-PL"/>
        </w:rPr>
        <w:t xml:space="preserve">na </w:t>
      </w:r>
      <w:r w:rsidRPr="00DA36C8">
        <w:rPr>
          <w:rFonts w:eastAsia="Calibri" w:cs="Times New Roman"/>
          <w:szCs w:val="24"/>
          <w:lang w:eastAsia="pl-PL"/>
        </w:rPr>
        <w:t>sektor finansów publicznych, w tym budżet państwa i budżet samorządu terytorialnego</w:t>
      </w:r>
      <w:r w:rsidRPr="00DA36C8">
        <w:rPr>
          <w:rFonts w:eastAsia="Times New Roman" w:cs="Times New Roman"/>
          <w:szCs w:val="24"/>
          <w:lang w:eastAsia="pl-PL"/>
        </w:rPr>
        <w:t>.</w:t>
      </w:r>
      <w:r w:rsidRPr="0035545A">
        <w:rPr>
          <w:rFonts w:eastAsia="Times New Roman" w:cs="Times New Roman"/>
          <w:szCs w:val="24"/>
          <w:lang w:eastAsia="pl-PL"/>
        </w:rPr>
        <w:t xml:space="preserve"> </w:t>
      </w:r>
    </w:p>
    <w:p w:rsidR="00391247" w:rsidRPr="0035545A" w:rsidRDefault="00391247" w:rsidP="00391247">
      <w:pPr>
        <w:jc w:val="both"/>
        <w:rPr>
          <w:rFonts w:eastAsia="Times New Roman" w:cs="Times New Roman"/>
          <w:szCs w:val="24"/>
          <w:lang w:eastAsia="pl-PL"/>
        </w:rPr>
      </w:pPr>
    </w:p>
    <w:p w:rsidR="00391247" w:rsidRPr="0035545A" w:rsidRDefault="00391247" w:rsidP="00391247">
      <w:pPr>
        <w:keepNext/>
        <w:jc w:val="both"/>
        <w:outlineLvl w:val="0"/>
        <w:rPr>
          <w:rFonts w:eastAsia="Calibri" w:cs="Times New Roman"/>
          <w:b/>
          <w:szCs w:val="24"/>
          <w:lang w:eastAsia="pl-PL"/>
        </w:rPr>
      </w:pPr>
      <w:r w:rsidRPr="0035545A">
        <w:rPr>
          <w:rFonts w:eastAsia="Calibri" w:cs="Times New Roman"/>
          <w:b/>
          <w:szCs w:val="24"/>
          <w:lang w:eastAsia="pl-PL"/>
        </w:rPr>
        <w:t>4. Wpływ regulacji na rynek pracy</w:t>
      </w:r>
    </w:p>
    <w:p w:rsidR="00391247" w:rsidRPr="0035545A" w:rsidRDefault="00391247" w:rsidP="00391247">
      <w:pPr>
        <w:jc w:val="both"/>
        <w:rPr>
          <w:rFonts w:eastAsia="Times New Roman" w:cs="Times New Roman"/>
          <w:szCs w:val="24"/>
          <w:lang w:eastAsia="pl-PL"/>
        </w:rPr>
      </w:pPr>
      <w:r w:rsidRPr="0035545A">
        <w:rPr>
          <w:rFonts w:eastAsia="Times New Roman" w:cs="Times New Roman"/>
          <w:szCs w:val="24"/>
          <w:lang w:eastAsia="pl-PL"/>
        </w:rPr>
        <w:t xml:space="preserve">Proponowana regulacja nie wpływa na rynek pracy. </w:t>
      </w:r>
    </w:p>
    <w:p w:rsidR="00391247" w:rsidRPr="0035545A" w:rsidRDefault="00391247" w:rsidP="00391247">
      <w:pPr>
        <w:jc w:val="both"/>
        <w:rPr>
          <w:rFonts w:eastAsia="Times New Roman" w:cs="Times New Roman"/>
          <w:szCs w:val="24"/>
          <w:lang w:eastAsia="pl-PL"/>
        </w:rPr>
      </w:pPr>
    </w:p>
    <w:p w:rsidR="00391247" w:rsidRPr="0035545A" w:rsidRDefault="00391247" w:rsidP="00391247">
      <w:pPr>
        <w:keepNext/>
        <w:jc w:val="both"/>
        <w:outlineLvl w:val="0"/>
        <w:rPr>
          <w:rFonts w:eastAsia="Calibri" w:cs="Times New Roman"/>
          <w:b/>
          <w:szCs w:val="24"/>
          <w:lang w:eastAsia="pl-PL"/>
        </w:rPr>
      </w:pPr>
      <w:r w:rsidRPr="0035545A">
        <w:rPr>
          <w:rFonts w:eastAsia="Calibri" w:cs="Times New Roman"/>
          <w:b/>
          <w:szCs w:val="24"/>
          <w:lang w:eastAsia="pl-PL"/>
        </w:rPr>
        <w:t xml:space="preserve">5. Wpływ regulacji na konkurencyjność gospodarki i przedsiębiorczość, w tym na funkcjonowanie przedsiębiorstw </w:t>
      </w:r>
    </w:p>
    <w:p w:rsidR="00391247" w:rsidRPr="0035545A" w:rsidRDefault="00391247" w:rsidP="00391247">
      <w:pPr>
        <w:jc w:val="both"/>
        <w:rPr>
          <w:rFonts w:eastAsia="Times New Roman" w:cs="Times New Roman"/>
          <w:szCs w:val="24"/>
          <w:lang w:eastAsia="pl-PL"/>
        </w:rPr>
      </w:pPr>
      <w:r w:rsidRPr="0035545A">
        <w:rPr>
          <w:rFonts w:eastAsia="Times New Roman" w:cs="Times New Roman"/>
          <w:szCs w:val="24"/>
          <w:lang w:eastAsia="pl-PL"/>
        </w:rPr>
        <w:t xml:space="preserve">Proponowana regulacja nie będzie miała wpływu na konkurencyjność wewnętrzną </w:t>
      </w:r>
      <w:r w:rsidRPr="0035545A">
        <w:rPr>
          <w:rFonts w:eastAsia="Times New Roman" w:cs="Times New Roman"/>
          <w:szCs w:val="24"/>
          <w:lang w:eastAsia="pl-PL"/>
        </w:rPr>
        <w:br/>
        <w:t xml:space="preserve">i zewnętrzną gospodarki. </w:t>
      </w:r>
    </w:p>
    <w:p w:rsidR="00391247" w:rsidRPr="0035545A" w:rsidRDefault="00391247" w:rsidP="00391247">
      <w:pPr>
        <w:jc w:val="both"/>
        <w:rPr>
          <w:rFonts w:eastAsia="Times New Roman" w:cs="Times New Roman"/>
          <w:szCs w:val="24"/>
          <w:lang w:eastAsia="pl-PL"/>
        </w:rPr>
      </w:pPr>
    </w:p>
    <w:p w:rsidR="00391247" w:rsidRPr="0035545A" w:rsidRDefault="00391247" w:rsidP="00391247">
      <w:pPr>
        <w:keepNext/>
        <w:jc w:val="both"/>
        <w:outlineLvl w:val="0"/>
        <w:rPr>
          <w:rFonts w:eastAsia="Calibri" w:cs="Times New Roman"/>
          <w:b/>
          <w:szCs w:val="24"/>
          <w:lang w:eastAsia="pl-PL"/>
        </w:rPr>
      </w:pPr>
      <w:r w:rsidRPr="0035545A">
        <w:rPr>
          <w:rFonts w:eastAsia="Calibri" w:cs="Times New Roman"/>
          <w:b/>
          <w:szCs w:val="24"/>
          <w:lang w:eastAsia="pl-PL"/>
        </w:rPr>
        <w:t>6. Wpływ regulacji na sytuację i rozwój regionalny</w:t>
      </w:r>
    </w:p>
    <w:p w:rsidR="00391247" w:rsidRPr="0035545A" w:rsidRDefault="00391247" w:rsidP="00391247">
      <w:pPr>
        <w:jc w:val="both"/>
        <w:rPr>
          <w:rFonts w:eastAsia="Times New Roman" w:cs="Times New Roman"/>
          <w:szCs w:val="24"/>
          <w:lang w:eastAsia="pl-PL"/>
        </w:rPr>
      </w:pPr>
      <w:r w:rsidRPr="0035545A">
        <w:rPr>
          <w:rFonts w:eastAsia="Times New Roman" w:cs="Times New Roman"/>
          <w:szCs w:val="24"/>
          <w:lang w:eastAsia="pl-PL"/>
        </w:rPr>
        <w:t xml:space="preserve">Proponowana regulacja nie będzie miała wpływu na sytuację i rozwój regionów. </w:t>
      </w:r>
    </w:p>
    <w:p w:rsidR="00391247" w:rsidRPr="00266F67" w:rsidRDefault="00391247" w:rsidP="00391247">
      <w:pPr>
        <w:contextualSpacing/>
        <w:jc w:val="both"/>
        <w:rPr>
          <w:rFonts w:eastAsia="Times New Roman" w:cs="Times New Roman"/>
          <w:szCs w:val="24"/>
          <w:lang w:eastAsia="pl-PL"/>
        </w:rPr>
      </w:pPr>
    </w:p>
    <w:p w:rsidR="00391247" w:rsidRDefault="00391247" w:rsidP="000508BD">
      <w:pPr>
        <w:pStyle w:val="Akapitzlist"/>
        <w:ind w:left="1134" w:hanging="414"/>
        <w:rPr>
          <w:rFonts w:cs="Times New Roman"/>
          <w:szCs w:val="24"/>
        </w:rPr>
      </w:pPr>
    </w:p>
    <w:sectPr w:rsidR="00391247" w:rsidSect="0027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AF" w:rsidRDefault="00E32AAF" w:rsidP="00A65912">
      <w:r>
        <w:separator/>
      </w:r>
    </w:p>
  </w:endnote>
  <w:endnote w:type="continuationSeparator" w:id="0">
    <w:p w:rsidR="00E32AAF" w:rsidRDefault="00E32AAF" w:rsidP="00A6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AF" w:rsidRDefault="00E32AAF" w:rsidP="00A65912">
      <w:r>
        <w:separator/>
      </w:r>
    </w:p>
  </w:footnote>
  <w:footnote w:type="continuationSeparator" w:id="0">
    <w:p w:rsidR="00E32AAF" w:rsidRDefault="00E32AAF" w:rsidP="00A65912">
      <w:r>
        <w:continuationSeparator/>
      </w:r>
    </w:p>
  </w:footnote>
  <w:footnote w:id="1">
    <w:p w:rsidR="00A65912" w:rsidRDefault="00A65912" w:rsidP="00A65912">
      <w:pPr>
        <w:pStyle w:val="Tekstprzypisudolnego"/>
      </w:pPr>
      <w:r>
        <w:rPr>
          <w:rStyle w:val="Odwoanieprzypisudolnego"/>
        </w:rPr>
        <w:footnoteRef/>
      </w:r>
      <w:r w:rsidR="00CA0A3E">
        <w:rPr>
          <w:vertAlign w:val="superscript"/>
        </w:rPr>
        <w:t>)</w:t>
      </w:r>
      <w:r>
        <w:t xml:space="preserve"> Minister Transportu, Budownictwa i Gospodarki Morskiej kieruje działem administracji rządowej - transport, na podstawie § 1 ust. 2 pkt 3 rozporządzenia Prezesa Rady Ministrów z dnia 18 listopada 2011 r. w sprawie szczegółowego zakresu działania Ministra Transportu, Budownictwa i Gospodarki Morskiej (Dz. U. Nr 248, poz. 1494).</w:t>
      </w:r>
    </w:p>
  </w:footnote>
  <w:footnote w:id="2">
    <w:p w:rsidR="00471E52" w:rsidRDefault="00471E52" w:rsidP="00CA0A3E">
      <w:pPr>
        <w:pStyle w:val="Tekstprzypisudolnego"/>
        <w:jc w:val="both"/>
      </w:pPr>
      <w:r>
        <w:rPr>
          <w:rStyle w:val="Odwoanieprzypisudolnego"/>
        </w:rPr>
        <w:footnoteRef/>
      </w:r>
      <w:r w:rsidR="00CA0A3E">
        <w:rPr>
          <w:vertAlign w:val="superscript"/>
        </w:rPr>
        <w:t>)</w:t>
      </w:r>
      <w:r>
        <w:t xml:space="preserve"> </w:t>
      </w:r>
      <w:r w:rsidR="00CA0A3E" w:rsidRPr="00C84E94">
        <w:t>Zmiany wymienionej ustawy zostały ogłoszone w Dz. U. Nr 92, poz. 530, Nr 106, poz. 622, Nr 205, poz. 1210, Nr 227, poz. 1367 i Nr 244, poz. 1454</w:t>
      </w:r>
      <w:r w:rsidR="00CA0A3E">
        <w:t>,</w:t>
      </w:r>
      <w:r w:rsidR="00CA0A3E" w:rsidRPr="00C84E94">
        <w:t xml:space="preserve"> z 2012 r. poz. 113</w:t>
      </w:r>
      <w:r w:rsidR="00CA0A3E">
        <w:t xml:space="preserve"> oraz z 2013 r. poz.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A63"/>
    <w:multiLevelType w:val="hybridMultilevel"/>
    <w:tmpl w:val="B9403C14"/>
    <w:lvl w:ilvl="0" w:tplc="634E1AE8">
      <w:start w:val="1"/>
      <w:numFmt w:val="decimal"/>
      <w:lvlText w:val="%1)"/>
      <w:lvlJc w:val="left"/>
      <w:pPr>
        <w:ind w:left="-120" w:hanging="360"/>
      </w:pPr>
      <w:rPr>
        <w:rFonts w:hint="default"/>
      </w:rPr>
    </w:lvl>
    <w:lvl w:ilvl="1" w:tplc="04150019" w:tentative="1">
      <w:start w:val="1"/>
      <w:numFmt w:val="lowerLetter"/>
      <w:lvlText w:val="%2."/>
      <w:lvlJc w:val="left"/>
      <w:pPr>
        <w:ind w:left="600" w:hanging="360"/>
      </w:pPr>
    </w:lvl>
    <w:lvl w:ilvl="2" w:tplc="0415001B" w:tentative="1">
      <w:start w:val="1"/>
      <w:numFmt w:val="lowerRoman"/>
      <w:lvlText w:val="%3."/>
      <w:lvlJc w:val="right"/>
      <w:pPr>
        <w:ind w:left="1320" w:hanging="180"/>
      </w:p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1">
    <w:nsid w:val="06481B0B"/>
    <w:multiLevelType w:val="hybridMultilevel"/>
    <w:tmpl w:val="492C7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C93CAC"/>
    <w:multiLevelType w:val="hybridMultilevel"/>
    <w:tmpl w:val="C6901AEA"/>
    <w:lvl w:ilvl="0" w:tplc="ED22F20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nsid w:val="10605F09"/>
    <w:multiLevelType w:val="hybridMultilevel"/>
    <w:tmpl w:val="FB14E498"/>
    <w:lvl w:ilvl="0" w:tplc="8CE492B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A06043F"/>
    <w:multiLevelType w:val="multilevel"/>
    <w:tmpl w:val="F4E6C190"/>
    <w:lvl w:ilvl="0">
      <w:start w:val="54"/>
      <w:numFmt w:val="decimal"/>
      <w:lvlText w:val="§ %1."/>
      <w:lvlJc w:val="left"/>
      <w:pPr>
        <w:tabs>
          <w:tab w:val="num" w:pos="0"/>
        </w:tabs>
        <w:ind w:left="2520" w:hanging="360"/>
      </w:pPr>
      <w:rPr>
        <w:rFonts w:ascii="Times New Roman" w:hAnsi="Times New Roman" w:cs="Times New Roman" w:hint="default"/>
        <w:b/>
        <w:sz w:val="24"/>
      </w:rPr>
    </w:lvl>
    <w:lvl w:ilvl="1">
      <w:start w:val="1"/>
      <w:numFmt w:val="decimal"/>
      <w:lvlText w:val="%2."/>
      <w:lvlJc w:val="left"/>
      <w:pPr>
        <w:tabs>
          <w:tab w:val="num" w:pos="0"/>
        </w:tabs>
        <w:ind w:left="2880" w:hanging="360"/>
      </w:pPr>
      <w:rPr>
        <w:rFonts w:ascii="Times New Roman" w:hAnsi="Times New Roman" w:cs="Times New Roman" w:hint="default"/>
      </w:rPr>
    </w:lvl>
    <w:lvl w:ilvl="2">
      <w:start w:val="1"/>
      <w:numFmt w:val="decimal"/>
      <w:lvlText w:val="%3)"/>
      <w:lvlJc w:val="left"/>
      <w:pPr>
        <w:tabs>
          <w:tab w:val="num" w:pos="0"/>
        </w:tabs>
        <w:ind w:left="3240" w:hanging="360"/>
      </w:pPr>
      <w:rPr>
        <w:rFonts w:cs="Times New Roman" w:hint="default"/>
      </w:rPr>
    </w:lvl>
    <w:lvl w:ilvl="3">
      <w:start w:val="1"/>
      <w:numFmt w:val="lowerLetter"/>
      <w:lvlText w:val="%4)"/>
      <w:lvlJc w:val="left"/>
      <w:pPr>
        <w:tabs>
          <w:tab w:val="num" w:pos="0"/>
        </w:tabs>
        <w:ind w:left="3600" w:hanging="360"/>
      </w:pPr>
      <w:rPr>
        <w:rFonts w:cs="Times New Roman" w:hint="default"/>
      </w:rPr>
    </w:lvl>
    <w:lvl w:ilvl="4">
      <w:start w:val="1"/>
      <w:numFmt w:val="bullet"/>
      <w:lvlText w:val=""/>
      <w:lvlJc w:val="left"/>
      <w:pPr>
        <w:tabs>
          <w:tab w:val="num" w:pos="0"/>
        </w:tabs>
        <w:ind w:left="3960" w:hanging="360"/>
      </w:pPr>
      <w:rPr>
        <w:rFonts w:ascii="Symbol" w:hAnsi="Symbol" w:hint="default"/>
      </w:rPr>
    </w:lvl>
    <w:lvl w:ilvl="5">
      <w:start w:val="1"/>
      <w:numFmt w:val="bullet"/>
      <w:lvlText w:val=""/>
      <w:lvlJc w:val="left"/>
      <w:pPr>
        <w:tabs>
          <w:tab w:val="num" w:pos="0"/>
        </w:tabs>
        <w:ind w:left="4320" w:hanging="360"/>
      </w:pPr>
      <w:rPr>
        <w:rFonts w:ascii="Symbol" w:hAnsi="Symbol"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
      <w:lvlJc w:val="left"/>
      <w:pPr>
        <w:tabs>
          <w:tab w:val="num" w:pos="0"/>
        </w:tabs>
        <w:ind w:left="5040" w:hanging="360"/>
      </w:pPr>
      <w:rPr>
        <w:rFonts w:ascii="Symbol" w:hAnsi="Symbol" w:hint="default"/>
      </w:rPr>
    </w:lvl>
    <w:lvl w:ilvl="8">
      <w:start w:val="1"/>
      <w:numFmt w:val="bullet"/>
      <w:lvlText w:val=""/>
      <w:lvlJc w:val="left"/>
      <w:pPr>
        <w:tabs>
          <w:tab w:val="num" w:pos="0"/>
        </w:tabs>
        <w:ind w:left="5400" w:hanging="360"/>
      </w:pPr>
      <w:rPr>
        <w:rFonts w:ascii="Symbol" w:hAnsi="Symbol" w:hint="default"/>
      </w:rPr>
    </w:lvl>
  </w:abstractNum>
  <w:abstractNum w:abstractNumId="5">
    <w:nsid w:val="1AF3259E"/>
    <w:multiLevelType w:val="hybridMultilevel"/>
    <w:tmpl w:val="7B6C585A"/>
    <w:lvl w:ilvl="0" w:tplc="9E9A28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D6C4047"/>
    <w:multiLevelType w:val="hybridMultilevel"/>
    <w:tmpl w:val="8820DBA2"/>
    <w:lvl w:ilvl="0" w:tplc="04150011">
      <w:start w:val="1"/>
      <w:numFmt w:val="decimal"/>
      <w:lvlText w:val="%1)"/>
      <w:lvlJc w:val="left"/>
      <w:pPr>
        <w:ind w:left="1440" w:hanging="360"/>
      </w:pPr>
      <w:rPr>
        <w:rFonts w:hint="default"/>
      </w:rPr>
    </w:lvl>
    <w:lvl w:ilvl="1" w:tplc="ED22F202">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4D34980"/>
    <w:multiLevelType w:val="hybridMultilevel"/>
    <w:tmpl w:val="BC885080"/>
    <w:lvl w:ilvl="0" w:tplc="0BECAE4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9EC609E"/>
    <w:multiLevelType w:val="hybridMultilevel"/>
    <w:tmpl w:val="AC8CEA42"/>
    <w:lvl w:ilvl="0" w:tplc="D3CA6A7C">
      <w:start w:val="1"/>
      <w:numFmt w:val="decimal"/>
      <w:lvlText w:val="§ %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40762B30"/>
    <w:multiLevelType w:val="hybridMultilevel"/>
    <w:tmpl w:val="492C7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D715F8"/>
    <w:multiLevelType w:val="hybridMultilevel"/>
    <w:tmpl w:val="1F3A630E"/>
    <w:lvl w:ilvl="0" w:tplc="8B8C118A">
      <w:start w:val="5"/>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B5621"/>
    <w:multiLevelType w:val="hybridMultilevel"/>
    <w:tmpl w:val="5C2C9E5E"/>
    <w:lvl w:ilvl="0" w:tplc="407C59F8">
      <w:start w:val="1"/>
      <w:numFmt w:val="lowerLetter"/>
      <w:lvlText w:val="%1)"/>
      <w:lvlJc w:val="left"/>
      <w:pPr>
        <w:ind w:left="1440" w:hanging="360"/>
      </w:pPr>
      <w:rPr>
        <w:rFonts w:hint="default"/>
      </w:rPr>
    </w:lvl>
    <w:lvl w:ilvl="1" w:tplc="04150017">
      <w:start w:val="1"/>
      <w:numFmt w:val="lowerLetter"/>
      <w:lvlText w:val="%2)"/>
      <w:lvlJc w:val="left"/>
      <w:pPr>
        <w:ind w:left="2062"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57674120"/>
    <w:multiLevelType w:val="hybridMultilevel"/>
    <w:tmpl w:val="E25680E8"/>
    <w:lvl w:ilvl="0" w:tplc="700856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0590E73"/>
    <w:multiLevelType w:val="hybridMultilevel"/>
    <w:tmpl w:val="DC9011CC"/>
    <w:lvl w:ilvl="0" w:tplc="359AA3CC">
      <w:start w:val="1"/>
      <w:numFmt w:val="decimal"/>
      <w:lvlText w:val="§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6A01D3"/>
    <w:multiLevelType w:val="hybridMultilevel"/>
    <w:tmpl w:val="43629AE6"/>
    <w:lvl w:ilvl="0" w:tplc="ED22F2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5827D8E"/>
    <w:multiLevelType w:val="hybridMultilevel"/>
    <w:tmpl w:val="D73CC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D240BD"/>
    <w:multiLevelType w:val="hybridMultilevel"/>
    <w:tmpl w:val="2660AC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371C29"/>
    <w:multiLevelType w:val="hybridMultilevel"/>
    <w:tmpl w:val="AAE20CBA"/>
    <w:lvl w:ilvl="0" w:tplc="04150011">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7F9E15CA"/>
    <w:multiLevelType w:val="hybridMultilevel"/>
    <w:tmpl w:val="18C2126A"/>
    <w:lvl w:ilvl="0" w:tplc="1AB4ABF2">
      <w:start w:val="2"/>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3"/>
  </w:num>
  <w:num w:numId="3">
    <w:abstractNumId w:val="11"/>
  </w:num>
  <w:num w:numId="4">
    <w:abstractNumId w:val="7"/>
  </w:num>
  <w:num w:numId="5">
    <w:abstractNumId w:val="1"/>
  </w:num>
  <w:num w:numId="6">
    <w:abstractNumId w:val="0"/>
  </w:num>
  <w:num w:numId="7">
    <w:abstractNumId w:val="5"/>
  </w:num>
  <w:num w:numId="8">
    <w:abstractNumId w:val="6"/>
  </w:num>
  <w:num w:numId="9">
    <w:abstractNumId w:val="2"/>
  </w:num>
  <w:num w:numId="10">
    <w:abstractNumId w:val="12"/>
  </w:num>
  <w:num w:numId="11">
    <w:abstractNumId w:val="9"/>
  </w:num>
  <w:num w:numId="12">
    <w:abstractNumId w:val="18"/>
  </w:num>
  <w:num w:numId="13">
    <w:abstractNumId w:val="4"/>
  </w:num>
  <w:num w:numId="14">
    <w:abstractNumId w:val="13"/>
  </w:num>
  <w:num w:numId="15">
    <w:abstractNumId w:val="8"/>
  </w:num>
  <w:num w:numId="16">
    <w:abstractNumId w:val="14"/>
  </w:num>
  <w:num w:numId="17">
    <w:abstractNumId w:val="1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16"/>
    <w:rsid w:val="0002212F"/>
    <w:rsid w:val="0002384B"/>
    <w:rsid w:val="00040BA4"/>
    <w:rsid w:val="000508BD"/>
    <w:rsid w:val="000E2479"/>
    <w:rsid w:val="00107B4B"/>
    <w:rsid w:val="00121238"/>
    <w:rsid w:val="0016026E"/>
    <w:rsid w:val="0017095B"/>
    <w:rsid w:val="00181D47"/>
    <w:rsid w:val="001F0A02"/>
    <w:rsid w:val="00215294"/>
    <w:rsid w:val="00215C02"/>
    <w:rsid w:val="0024143C"/>
    <w:rsid w:val="0027356E"/>
    <w:rsid w:val="0029028A"/>
    <w:rsid w:val="00304F6C"/>
    <w:rsid w:val="00306896"/>
    <w:rsid w:val="003176FA"/>
    <w:rsid w:val="00391247"/>
    <w:rsid w:val="003D647C"/>
    <w:rsid w:val="003D7BDD"/>
    <w:rsid w:val="0041189F"/>
    <w:rsid w:val="004236F2"/>
    <w:rsid w:val="00461A89"/>
    <w:rsid w:val="00471E52"/>
    <w:rsid w:val="004D1B4B"/>
    <w:rsid w:val="004D3B69"/>
    <w:rsid w:val="004F075B"/>
    <w:rsid w:val="004F7405"/>
    <w:rsid w:val="005C5A51"/>
    <w:rsid w:val="00615901"/>
    <w:rsid w:val="006835D6"/>
    <w:rsid w:val="0075312B"/>
    <w:rsid w:val="00793B16"/>
    <w:rsid w:val="007B12F8"/>
    <w:rsid w:val="00813713"/>
    <w:rsid w:val="00843E57"/>
    <w:rsid w:val="008629AB"/>
    <w:rsid w:val="0088278B"/>
    <w:rsid w:val="0089166E"/>
    <w:rsid w:val="00921A9C"/>
    <w:rsid w:val="009B4BA7"/>
    <w:rsid w:val="009C1E68"/>
    <w:rsid w:val="009C4CE5"/>
    <w:rsid w:val="00A65912"/>
    <w:rsid w:val="00AA0742"/>
    <w:rsid w:val="00AF2539"/>
    <w:rsid w:val="00B007DC"/>
    <w:rsid w:val="00B06D65"/>
    <w:rsid w:val="00B13969"/>
    <w:rsid w:val="00BD7A4A"/>
    <w:rsid w:val="00BD7C99"/>
    <w:rsid w:val="00C132AF"/>
    <w:rsid w:val="00C20FBC"/>
    <w:rsid w:val="00C56BDF"/>
    <w:rsid w:val="00C609B6"/>
    <w:rsid w:val="00CA0A3E"/>
    <w:rsid w:val="00CB7B7C"/>
    <w:rsid w:val="00D152C3"/>
    <w:rsid w:val="00D43D38"/>
    <w:rsid w:val="00D60581"/>
    <w:rsid w:val="00D66649"/>
    <w:rsid w:val="00DA36C8"/>
    <w:rsid w:val="00DB3138"/>
    <w:rsid w:val="00E01DB9"/>
    <w:rsid w:val="00E2592E"/>
    <w:rsid w:val="00E32AAF"/>
    <w:rsid w:val="00E549A1"/>
    <w:rsid w:val="00E64FFC"/>
    <w:rsid w:val="00E6762B"/>
    <w:rsid w:val="00E7711E"/>
    <w:rsid w:val="00E83107"/>
    <w:rsid w:val="00E92D2B"/>
    <w:rsid w:val="00EB0680"/>
    <w:rsid w:val="00EC1DAE"/>
    <w:rsid w:val="00EF18C0"/>
    <w:rsid w:val="00F5683A"/>
    <w:rsid w:val="00FD0F79"/>
    <w:rsid w:val="00FD18F9"/>
    <w:rsid w:val="00FE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9B6"/>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3B16"/>
    <w:pPr>
      <w:ind w:left="720"/>
      <w:contextualSpacing/>
    </w:pPr>
  </w:style>
  <w:style w:type="character" w:customStyle="1" w:styleId="tabulatory">
    <w:name w:val="tabulatory"/>
    <w:basedOn w:val="Domylnaczcionkaakapitu"/>
    <w:rsid w:val="00E92D2B"/>
  </w:style>
  <w:style w:type="paragraph" w:styleId="Tekstprzypisudolnego">
    <w:name w:val="footnote text"/>
    <w:basedOn w:val="Normalny"/>
    <w:link w:val="TekstprzypisudolnegoZnak"/>
    <w:uiPriority w:val="99"/>
    <w:semiHidden/>
    <w:unhideWhenUsed/>
    <w:rsid w:val="00A65912"/>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6591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659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9B6"/>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3B16"/>
    <w:pPr>
      <w:ind w:left="720"/>
      <w:contextualSpacing/>
    </w:pPr>
  </w:style>
  <w:style w:type="character" w:customStyle="1" w:styleId="tabulatory">
    <w:name w:val="tabulatory"/>
    <w:basedOn w:val="Domylnaczcionkaakapitu"/>
    <w:rsid w:val="00E92D2B"/>
  </w:style>
  <w:style w:type="paragraph" w:styleId="Tekstprzypisudolnego">
    <w:name w:val="footnote text"/>
    <w:basedOn w:val="Normalny"/>
    <w:link w:val="TekstprzypisudolnegoZnak"/>
    <w:uiPriority w:val="99"/>
    <w:semiHidden/>
    <w:unhideWhenUsed/>
    <w:rsid w:val="00A65912"/>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6591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65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21702">
      <w:bodyDiv w:val="1"/>
      <w:marLeft w:val="0"/>
      <w:marRight w:val="0"/>
      <w:marTop w:val="0"/>
      <w:marBottom w:val="0"/>
      <w:divBdr>
        <w:top w:val="none" w:sz="0" w:space="0" w:color="auto"/>
        <w:left w:val="none" w:sz="0" w:space="0" w:color="auto"/>
        <w:bottom w:val="none" w:sz="0" w:space="0" w:color="auto"/>
        <w:right w:val="none" w:sz="0" w:space="0" w:color="auto"/>
      </w:divBdr>
      <w:divsChild>
        <w:div w:id="1567570477">
          <w:marLeft w:val="480"/>
          <w:marRight w:val="0"/>
          <w:marTop w:val="0"/>
          <w:marBottom w:val="0"/>
          <w:divBdr>
            <w:top w:val="none" w:sz="0" w:space="0" w:color="auto"/>
            <w:left w:val="none" w:sz="0" w:space="0" w:color="auto"/>
            <w:bottom w:val="none" w:sz="0" w:space="0" w:color="auto"/>
            <w:right w:val="none" w:sz="0" w:space="0" w:color="auto"/>
          </w:divBdr>
        </w:div>
        <w:div w:id="2042783564">
          <w:marLeft w:val="720"/>
          <w:marRight w:val="0"/>
          <w:marTop w:val="0"/>
          <w:marBottom w:val="0"/>
          <w:divBdr>
            <w:top w:val="none" w:sz="0" w:space="0" w:color="auto"/>
            <w:left w:val="none" w:sz="0" w:space="0" w:color="auto"/>
            <w:bottom w:val="none" w:sz="0" w:space="0" w:color="auto"/>
            <w:right w:val="none" w:sz="0" w:space="0" w:color="auto"/>
          </w:divBdr>
        </w:div>
        <w:div w:id="33891084">
          <w:marLeft w:val="720"/>
          <w:marRight w:val="0"/>
          <w:marTop w:val="0"/>
          <w:marBottom w:val="0"/>
          <w:divBdr>
            <w:top w:val="none" w:sz="0" w:space="0" w:color="auto"/>
            <w:left w:val="none" w:sz="0" w:space="0" w:color="auto"/>
            <w:bottom w:val="none" w:sz="0" w:space="0" w:color="auto"/>
            <w:right w:val="none" w:sz="0" w:space="0" w:color="auto"/>
          </w:divBdr>
        </w:div>
        <w:div w:id="618342969">
          <w:marLeft w:val="720"/>
          <w:marRight w:val="0"/>
          <w:marTop w:val="0"/>
          <w:marBottom w:val="0"/>
          <w:divBdr>
            <w:top w:val="none" w:sz="0" w:space="0" w:color="auto"/>
            <w:left w:val="none" w:sz="0" w:space="0" w:color="auto"/>
            <w:bottom w:val="none" w:sz="0" w:space="0" w:color="auto"/>
            <w:right w:val="none" w:sz="0" w:space="0" w:color="auto"/>
          </w:divBdr>
        </w:div>
      </w:divsChild>
    </w:div>
    <w:div w:id="1902327109">
      <w:bodyDiv w:val="1"/>
      <w:marLeft w:val="0"/>
      <w:marRight w:val="0"/>
      <w:marTop w:val="0"/>
      <w:marBottom w:val="0"/>
      <w:divBdr>
        <w:top w:val="none" w:sz="0" w:space="0" w:color="auto"/>
        <w:left w:val="none" w:sz="0" w:space="0" w:color="auto"/>
        <w:bottom w:val="none" w:sz="0" w:space="0" w:color="auto"/>
        <w:right w:val="none" w:sz="0" w:space="0" w:color="auto"/>
      </w:divBdr>
    </w:div>
    <w:div w:id="20332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73619-2F7F-44A1-B77A-BB85D8D7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2074</Words>
  <Characters>12444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tpietka</dc:creator>
  <cp:lastModifiedBy>Andrzej Gniadkowski</cp:lastModifiedBy>
  <cp:revision>2</cp:revision>
  <cp:lastPrinted>2013-02-07T08:15:00Z</cp:lastPrinted>
  <dcterms:created xsi:type="dcterms:W3CDTF">2013-02-27T14:13:00Z</dcterms:created>
  <dcterms:modified xsi:type="dcterms:W3CDTF">2013-02-27T14:13:00Z</dcterms:modified>
</cp:coreProperties>
</file>